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D6BB3" w:rsidRPr="0092542E" w:rsidRDefault="009D6BB3" w:rsidP="0092542E">
      <w:pPr>
        <w:shd w:val="clear" w:color="auto" w:fill="FCFCFC"/>
        <w:spacing w:after="0" w:line="240" w:lineRule="auto"/>
        <w:textAlignment w:val="baseline"/>
        <w:rPr>
          <w:rFonts w:eastAsia="Times New Roman" w:cstheme="minorHAnsi"/>
          <w:b/>
          <w:bCs/>
          <w:color w:val="333333"/>
          <w:sz w:val="32"/>
          <w:szCs w:val="32"/>
          <w:lang w:eastAsia="en-GB"/>
        </w:rPr>
      </w:pPr>
      <w:r w:rsidRPr="0092542E">
        <w:rPr>
          <w:rFonts w:eastAsia="Times New Roman" w:cstheme="minorHAnsi"/>
          <w:b/>
          <w:bCs/>
          <w:color w:val="333333"/>
          <w:sz w:val="32"/>
          <w:szCs w:val="32"/>
          <w:lang w:eastAsia="en-GB"/>
        </w:rPr>
        <w:t xml:space="preserve">Development </w:t>
      </w:r>
      <w:r w:rsidR="0092542E" w:rsidRPr="0092542E">
        <w:rPr>
          <w:rFonts w:eastAsia="Times New Roman" w:cstheme="minorHAnsi"/>
          <w:b/>
          <w:bCs/>
          <w:color w:val="333333"/>
          <w:sz w:val="32"/>
          <w:szCs w:val="32"/>
          <w:lang w:eastAsia="en-GB"/>
        </w:rPr>
        <w:t>in</w:t>
      </w:r>
      <w:r w:rsidRPr="0092542E">
        <w:rPr>
          <w:rFonts w:eastAsia="Times New Roman" w:cstheme="minorHAnsi"/>
          <w:b/>
          <w:bCs/>
          <w:color w:val="333333"/>
          <w:sz w:val="32"/>
          <w:szCs w:val="32"/>
          <w:lang w:eastAsia="en-GB"/>
        </w:rPr>
        <w:t xml:space="preserve"> the Greenbelt – compliance with the National Planning Policy Framework</w:t>
      </w:r>
    </w:p>
    <w:p w:rsidR="0092542E" w:rsidRDefault="0092542E" w:rsidP="0092542E">
      <w:pPr>
        <w:shd w:val="clear" w:color="auto" w:fill="FCFCFC"/>
        <w:spacing w:after="0" w:line="240" w:lineRule="auto"/>
        <w:textAlignment w:val="baseline"/>
        <w:rPr>
          <w:rFonts w:eastAsia="Times New Roman" w:cstheme="minorHAnsi"/>
          <w:color w:val="333333"/>
          <w:sz w:val="23"/>
          <w:szCs w:val="23"/>
          <w:lang w:eastAsia="en-GB"/>
        </w:rPr>
      </w:pPr>
    </w:p>
    <w:p w:rsidR="009D6BB3" w:rsidRPr="0092542E" w:rsidRDefault="0092542E" w:rsidP="0092542E">
      <w:pPr>
        <w:shd w:val="clear" w:color="auto" w:fill="FCFCFC"/>
        <w:spacing w:after="0" w:line="240" w:lineRule="auto"/>
        <w:textAlignment w:val="baseline"/>
        <w:rPr>
          <w:rFonts w:eastAsia="Times New Roman" w:cstheme="minorHAnsi"/>
          <w:color w:val="333333"/>
          <w:sz w:val="28"/>
          <w:szCs w:val="28"/>
          <w:lang w:eastAsia="en-GB"/>
        </w:rPr>
      </w:pPr>
      <w:r w:rsidRPr="0092542E">
        <w:rPr>
          <w:rFonts w:eastAsia="Times New Roman" w:cstheme="minorHAnsi"/>
          <w:color w:val="333333"/>
          <w:sz w:val="28"/>
          <w:szCs w:val="28"/>
          <w:lang w:eastAsia="en-GB"/>
        </w:rPr>
        <w:t>Discussion on proposed Policy S4: Development in the Green Belt found on pages 68 to 71 of the Draft Local Plan for Epsom and Ewell</w:t>
      </w:r>
    </w:p>
    <w:p w:rsidR="0092542E" w:rsidRDefault="0092542E" w:rsidP="0092542E">
      <w:pPr>
        <w:shd w:val="clear" w:color="auto" w:fill="FCFCFC"/>
        <w:spacing w:after="0" w:line="240" w:lineRule="auto"/>
        <w:textAlignment w:val="baseline"/>
        <w:rPr>
          <w:rFonts w:eastAsia="Times New Roman" w:cstheme="minorHAnsi"/>
          <w:color w:val="333333"/>
          <w:sz w:val="23"/>
          <w:szCs w:val="23"/>
          <w:lang w:eastAsia="en-GB"/>
        </w:rPr>
      </w:pPr>
    </w:p>
    <w:p w:rsidR="0092542E" w:rsidRDefault="0092542E" w:rsidP="0092542E">
      <w:pPr>
        <w:shd w:val="clear" w:color="auto" w:fill="FCFCFC"/>
        <w:spacing w:after="0" w:line="240" w:lineRule="auto"/>
        <w:textAlignment w:val="baseline"/>
        <w:rPr>
          <w:rFonts w:eastAsia="Times New Roman" w:cstheme="minorHAnsi"/>
          <w:color w:val="333333"/>
          <w:sz w:val="23"/>
          <w:szCs w:val="23"/>
          <w:lang w:eastAsia="en-GB"/>
        </w:rPr>
      </w:pPr>
    </w:p>
    <w:p w:rsidR="0092542E" w:rsidRPr="00D078FB" w:rsidRDefault="0092542E" w:rsidP="00D078FB">
      <w:pPr>
        <w:pStyle w:val="ListParagraph"/>
        <w:numPr>
          <w:ilvl w:val="0"/>
          <w:numId w:val="14"/>
        </w:numPr>
        <w:shd w:val="clear" w:color="auto" w:fill="FCFCFC"/>
        <w:spacing w:after="0" w:line="240" w:lineRule="auto"/>
        <w:textAlignment w:val="baseline"/>
        <w:rPr>
          <w:rFonts w:eastAsia="Times New Roman" w:cstheme="minorHAnsi"/>
          <w:b/>
          <w:bCs/>
          <w:color w:val="333333"/>
          <w:sz w:val="28"/>
          <w:szCs w:val="28"/>
          <w:u w:val="single"/>
          <w:lang w:eastAsia="en-GB"/>
        </w:rPr>
      </w:pPr>
      <w:r w:rsidRPr="00D078FB">
        <w:rPr>
          <w:rFonts w:eastAsia="Times New Roman" w:cstheme="minorHAnsi"/>
          <w:b/>
          <w:bCs/>
          <w:color w:val="333333"/>
          <w:sz w:val="28"/>
          <w:szCs w:val="28"/>
          <w:u w:val="single"/>
          <w:lang w:eastAsia="en-GB"/>
        </w:rPr>
        <w:t>The Policy Statement:</w:t>
      </w:r>
    </w:p>
    <w:p w:rsidR="0092542E" w:rsidRDefault="0092542E" w:rsidP="0092542E">
      <w:pPr>
        <w:shd w:val="clear" w:color="auto" w:fill="FCFCFC"/>
        <w:spacing w:after="0" w:line="240" w:lineRule="auto"/>
        <w:textAlignment w:val="baseline"/>
        <w:rPr>
          <w:rFonts w:eastAsia="Times New Roman" w:cstheme="minorHAnsi"/>
          <w:color w:val="333333"/>
          <w:lang w:eastAsia="en-GB"/>
        </w:rPr>
      </w:pPr>
    </w:p>
    <w:p w:rsidR="00341295" w:rsidRDefault="00341295" w:rsidP="0092542E">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The Draft Local Plan includes a policy statement on Greenbelt.</w:t>
      </w:r>
    </w:p>
    <w:p w:rsidR="00341295" w:rsidRPr="0092542E" w:rsidRDefault="00341295" w:rsidP="0092542E">
      <w:pPr>
        <w:shd w:val="clear" w:color="auto" w:fill="FCFCFC"/>
        <w:spacing w:after="0" w:line="240" w:lineRule="auto"/>
        <w:textAlignment w:val="baseline"/>
        <w:rPr>
          <w:rFonts w:eastAsia="Times New Roman" w:cstheme="minorHAnsi"/>
          <w:color w:val="333333"/>
          <w:lang w:eastAsia="en-GB"/>
        </w:rPr>
      </w:pPr>
    </w:p>
    <w:p w:rsidR="0092542E" w:rsidRPr="0092542E" w:rsidRDefault="0092542E" w:rsidP="0092542E">
      <w:pPr>
        <w:shd w:val="clear" w:color="auto" w:fill="FCFCFC"/>
        <w:spacing w:after="0" w:line="240" w:lineRule="auto"/>
        <w:textAlignment w:val="baseline"/>
        <w:rPr>
          <w:rFonts w:eastAsia="Times New Roman" w:cstheme="minorHAnsi"/>
          <w:color w:val="333333"/>
          <w:u w:val="single"/>
          <w:lang w:eastAsia="en-GB"/>
        </w:rPr>
      </w:pPr>
      <w:r w:rsidRPr="0092542E">
        <w:rPr>
          <w:rFonts w:eastAsia="Times New Roman" w:cstheme="minorHAnsi"/>
          <w:color w:val="333333"/>
          <w:u w:val="single"/>
          <w:lang w:eastAsia="en-GB"/>
        </w:rPr>
        <w:t>Policy S4 states:</w:t>
      </w:r>
    </w:p>
    <w:p w:rsidR="0092542E" w:rsidRPr="0092542E" w:rsidRDefault="0092542E" w:rsidP="0092542E">
      <w:pPr>
        <w:shd w:val="clear" w:color="auto" w:fill="FCFCFC"/>
        <w:spacing w:after="0" w:line="240" w:lineRule="auto"/>
        <w:textAlignment w:val="baseline"/>
        <w:rPr>
          <w:rFonts w:cstheme="minorHAnsi"/>
          <w:i/>
          <w:iCs/>
        </w:rPr>
      </w:pPr>
      <w:r w:rsidRPr="0092542E">
        <w:rPr>
          <w:rFonts w:eastAsia="Times New Roman" w:cstheme="minorHAnsi"/>
          <w:i/>
          <w:iCs/>
          <w:color w:val="333333"/>
          <w:lang w:eastAsia="en-GB"/>
        </w:rPr>
        <w:t>‘</w:t>
      </w:r>
      <w:r w:rsidRPr="0092542E">
        <w:rPr>
          <w:rFonts w:cstheme="minorHAnsi"/>
          <w:i/>
          <w:iCs/>
        </w:rPr>
        <w:t xml:space="preserve">1) Land which is designated as Green Belt on the Policies Map will be protected against inappropriate development in accordance with National Planning Policy. Inappropriate development will not be permitted unless very special circumstances can be demonstrated. Very special circumstances will not exist unless the potential harm to the Green Belt by reason of inappropriateness, and any other harm is clearly outweighed by other considerations. </w:t>
      </w:r>
    </w:p>
    <w:p w:rsidR="0092542E" w:rsidRPr="0092542E" w:rsidRDefault="0092542E" w:rsidP="0092542E">
      <w:pPr>
        <w:shd w:val="clear" w:color="auto" w:fill="FCFCFC"/>
        <w:spacing w:after="0" w:line="240" w:lineRule="auto"/>
        <w:textAlignment w:val="baseline"/>
        <w:rPr>
          <w:rFonts w:cstheme="minorHAnsi"/>
          <w:i/>
          <w:iCs/>
        </w:rPr>
      </w:pPr>
    </w:p>
    <w:p w:rsidR="0092542E" w:rsidRPr="0092542E" w:rsidRDefault="0092542E" w:rsidP="0092542E">
      <w:pPr>
        <w:shd w:val="clear" w:color="auto" w:fill="FCFCFC"/>
        <w:spacing w:after="0" w:line="240" w:lineRule="auto"/>
        <w:textAlignment w:val="baseline"/>
        <w:rPr>
          <w:rFonts w:cstheme="minorHAnsi"/>
          <w:i/>
          <w:iCs/>
        </w:rPr>
      </w:pPr>
      <w:r w:rsidRPr="0092542E">
        <w:rPr>
          <w:rFonts w:cstheme="minorHAnsi"/>
          <w:i/>
          <w:iCs/>
        </w:rPr>
        <w:t xml:space="preserve">2) The construction of new buildings in the Green Belt will constitute inappropriate development, unless the buildings fall within the list of exceptions identified by National Planning Policy. </w:t>
      </w:r>
    </w:p>
    <w:p w:rsidR="0092542E" w:rsidRPr="0092542E" w:rsidRDefault="0092542E" w:rsidP="0092542E">
      <w:pPr>
        <w:shd w:val="clear" w:color="auto" w:fill="FCFCFC"/>
        <w:spacing w:after="0" w:line="240" w:lineRule="auto"/>
        <w:textAlignment w:val="baseline"/>
        <w:rPr>
          <w:rFonts w:cstheme="minorHAnsi"/>
          <w:i/>
          <w:iCs/>
        </w:rPr>
      </w:pPr>
    </w:p>
    <w:p w:rsidR="0092542E" w:rsidRPr="0092542E" w:rsidRDefault="0092542E" w:rsidP="0092542E">
      <w:pPr>
        <w:shd w:val="clear" w:color="auto" w:fill="FCFCFC"/>
        <w:spacing w:after="0" w:line="240" w:lineRule="auto"/>
        <w:textAlignment w:val="baseline"/>
        <w:rPr>
          <w:rFonts w:eastAsia="Times New Roman" w:cstheme="minorHAnsi"/>
          <w:i/>
          <w:iCs/>
          <w:color w:val="333333"/>
          <w:lang w:eastAsia="en-GB"/>
        </w:rPr>
      </w:pPr>
      <w:r w:rsidRPr="0092542E">
        <w:rPr>
          <w:rFonts w:cstheme="minorHAnsi"/>
          <w:i/>
          <w:iCs/>
        </w:rPr>
        <w:t>3) Certain other forms of development are also considered not inappropriate in the Green Belt provided they preserve its openness and do not conflict with the purposes of including land within it, and these are listed in National Planning Policy.’</w:t>
      </w:r>
    </w:p>
    <w:p w:rsidR="0092542E" w:rsidRPr="0092542E" w:rsidRDefault="0092542E" w:rsidP="0092542E">
      <w:pPr>
        <w:shd w:val="clear" w:color="auto" w:fill="FCFCFC"/>
        <w:spacing w:after="0" w:line="240" w:lineRule="auto"/>
        <w:textAlignment w:val="baseline"/>
        <w:rPr>
          <w:rFonts w:eastAsia="Times New Roman" w:cstheme="minorHAnsi"/>
          <w:color w:val="333333"/>
          <w:lang w:eastAsia="en-GB"/>
        </w:rPr>
      </w:pPr>
    </w:p>
    <w:p w:rsidR="0092542E" w:rsidRDefault="002E7F1B" w:rsidP="0092542E">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This quotes from paras 148, 149 and 150 of the 2021 edition of the National Planning Policy Framework (‘NPPF’) and the paragraphs are therefore appropriate, albeit incomplete.</w:t>
      </w:r>
    </w:p>
    <w:p w:rsidR="002E7F1B" w:rsidRDefault="002E7F1B" w:rsidP="0092542E">
      <w:pPr>
        <w:shd w:val="clear" w:color="auto" w:fill="FCFCFC"/>
        <w:spacing w:after="0" w:line="240" w:lineRule="auto"/>
        <w:textAlignment w:val="baseline"/>
        <w:rPr>
          <w:rFonts w:eastAsia="Times New Roman" w:cstheme="minorHAnsi"/>
          <w:color w:val="333333"/>
          <w:lang w:eastAsia="en-GB"/>
        </w:rPr>
      </w:pPr>
    </w:p>
    <w:p w:rsidR="00BE2F9E" w:rsidRDefault="00BE2F9E" w:rsidP="0092542E">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The current edition of the NPPF can be found using this link:</w:t>
      </w:r>
    </w:p>
    <w:p w:rsidR="00BE2F9E" w:rsidRDefault="00000000" w:rsidP="0092542E">
      <w:pPr>
        <w:shd w:val="clear" w:color="auto" w:fill="FCFCFC"/>
        <w:spacing w:after="0" w:line="240" w:lineRule="auto"/>
        <w:textAlignment w:val="baseline"/>
        <w:rPr>
          <w:rFonts w:eastAsia="Times New Roman" w:cstheme="minorHAnsi"/>
          <w:color w:val="333333"/>
          <w:lang w:eastAsia="en-GB"/>
        </w:rPr>
      </w:pPr>
      <w:hyperlink r:id="rId7" w:history="1">
        <w:r w:rsidR="00BE2F9E">
          <w:rPr>
            <w:rStyle w:val="Hyperlink"/>
          </w:rPr>
          <w:t>National Planning Policy Framework - GOV.UK (www.gov.uk)</w:t>
        </w:r>
      </w:hyperlink>
    </w:p>
    <w:p w:rsidR="00AF0299" w:rsidRDefault="00AF0299"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Pr="000D0F24" w:rsidRDefault="000D0F24" w:rsidP="000D0F24">
      <w:pPr>
        <w:pStyle w:val="ListParagraph"/>
        <w:numPr>
          <w:ilvl w:val="0"/>
          <w:numId w:val="14"/>
        </w:numPr>
        <w:shd w:val="clear" w:color="auto" w:fill="FCFCFC"/>
        <w:spacing w:after="0" w:line="240" w:lineRule="auto"/>
        <w:textAlignment w:val="baseline"/>
        <w:rPr>
          <w:rFonts w:eastAsia="Times New Roman" w:cstheme="minorHAnsi"/>
          <w:b/>
          <w:bCs/>
          <w:color w:val="333333"/>
          <w:sz w:val="28"/>
          <w:szCs w:val="28"/>
          <w:lang w:eastAsia="en-GB"/>
        </w:rPr>
      </w:pPr>
      <w:r w:rsidRPr="000D0F24">
        <w:rPr>
          <w:rFonts w:eastAsia="Times New Roman" w:cstheme="minorHAnsi"/>
          <w:b/>
          <w:bCs/>
          <w:color w:val="333333"/>
          <w:sz w:val="28"/>
          <w:szCs w:val="28"/>
          <w:lang w:eastAsia="en-GB"/>
        </w:rPr>
        <w:t>When is developing housing on Greenbelt permitted?</w:t>
      </w: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0D0F24">
      <w:pPr>
        <w:spacing w:after="0" w:line="240" w:lineRule="auto"/>
      </w:pPr>
      <w:r>
        <w:t>The NPPF states:</w:t>
      </w:r>
    </w:p>
    <w:p w:rsidR="000D0F24" w:rsidRDefault="000D0F24" w:rsidP="000D0F24">
      <w:pPr>
        <w:spacing w:after="0" w:line="240" w:lineRule="auto"/>
      </w:pPr>
    </w:p>
    <w:p w:rsidR="000D0F24" w:rsidRPr="000D0F24" w:rsidRDefault="000D0F24" w:rsidP="000D0F24">
      <w:pPr>
        <w:spacing w:after="0" w:line="240" w:lineRule="auto"/>
        <w:rPr>
          <w:i/>
          <w:iCs/>
        </w:rPr>
      </w:pPr>
      <w:r w:rsidRPr="000D0F24">
        <w:rPr>
          <w:i/>
          <w:iCs/>
        </w:rPr>
        <w:t>147. Inappropriate development is, by definition, harmful to the Green Belt and should not be approved except in very special circumstances.</w:t>
      </w:r>
    </w:p>
    <w:p w:rsidR="000D0F24" w:rsidRPr="000D0F24" w:rsidRDefault="000D0F24" w:rsidP="000D0F24">
      <w:pPr>
        <w:spacing w:after="0" w:line="240" w:lineRule="auto"/>
        <w:rPr>
          <w:i/>
          <w:iCs/>
        </w:rPr>
      </w:pPr>
    </w:p>
    <w:p w:rsidR="000D0F24" w:rsidRPr="000D0F24" w:rsidRDefault="000D0F24" w:rsidP="000D0F24">
      <w:pPr>
        <w:spacing w:after="0" w:line="240" w:lineRule="auto"/>
        <w:rPr>
          <w:i/>
          <w:iCs/>
        </w:rPr>
      </w:pPr>
      <w:r w:rsidRPr="000D0F24">
        <w:rPr>
          <w:i/>
          <w:iCs/>
        </w:rPr>
        <w:t>148. When considering any planning application, local planning authorities should ensure that substantial weight is given to any harm to the Green Belt. ‘Very special circumstances’ will not exist unless the potential harm to the Green Belt by reason of inappropriateness, and any other harm resulting from the proposal, is clearly outweighed by other considerations.</w:t>
      </w:r>
    </w:p>
    <w:p w:rsidR="000D0F24" w:rsidRPr="000D0F24" w:rsidRDefault="000D0F24" w:rsidP="000D0F24">
      <w:pPr>
        <w:spacing w:after="0" w:line="240" w:lineRule="auto"/>
        <w:rPr>
          <w:i/>
          <w:iCs/>
        </w:rPr>
      </w:pPr>
    </w:p>
    <w:p w:rsidR="000D0F24" w:rsidRPr="000D0F24" w:rsidRDefault="000D0F24" w:rsidP="000D0F24">
      <w:pPr>
        <w:spacing w:after="0" w:line="240" w:lineRule="auto"/>
        <w:rPr>
          <w:i/>
          <w:iCs/>
        </w:rPr>
      </w:pPr>
      <w:r w:rsidRPr="000D0F24">
        <w:rPr>
          <w:i/>
          <w:iCs/>
        </w:rPr>
        <w:t xml:space="preserve">149. A local planning authority should regard the construction of new buildings as inappropriate in the Green Belt. Exceptions to this are: </w:t>
      </w:r>
    </w:p>
    <w:p w:rsidR="000D0F24" w:rsidRPr="000D0F24" w:rsidRDefault="000D0F24" w:rsidP="000D0F24">
      <w:pPr>
        <w:spacing w:after="0" w:line="240" w:lineRule="auto"/>
        <w:rPr>
          <w:i/>
          <w:iCs/>
        </w:rPr>
      </w:pPr>
      <w:r w:rsidRPr="000D0F24">
        <w:rPr>
          <w:i/>
          <w:iCs/>
        </w:rPr>
        <w:t xml:space="preserve">c) the extension or alteration of a building provided that it does not result in disproportionate additions over and above the size of the original building; </w:t>
      </w:r>
    </w:p>
    <w:p w:rsidR="000D0F24" w:rsidRPr="000D0F24" w:rsidRDefault="000D0F24" w:rsidP="000D0F24">
      <w:pPr>
        <w:spacing w:after="0" w:line="240" w:lineRule="auto"/>
        <w:rPr>
          <w:i/>
          <w:iCs/>
        </w:rPr>
      </w:pPr>
      <w:r w:rsidRPr="000D0F24">
        <w:rPr>
          <w:i/>
          <w:iCs/>
        </w:rPr>
        <w:lastRenderedPageBreak/>
        <w:t xml:space="preserve">d) the replacement of a building, provided the new building is in the same use and not materially larger than the one it replaces; </w:t>
      </w:r>
    </w:p>
    <w:p w:rsidR="000D0F24" w:rsidRPr="000D0F24" w:rsidRDefault="000D0F24" w:rsidP="000D0F24">
      <w:pPr>
        <w:spacing w:after="0" w:line="240" w:lineRule="auto"/>
        <w:rPr>
          <w:i/>
          <w:iCs/>
        </w:rPr>
      </w:pPr>
      <w:r w:rsidRPr="000D0F24">
        <w:rPr>
          <w:i/>
          <w:iCs/>
        </w:rPr>
        <w:t xml:space="preserve">e) limited infilling in villages; </w:t>
      </w:r>
    </w:p>
    <w:p w:rsidR="000D0F24" w:rsidRPr="000D0F24" w:rsidRDefault="000D0F24" w:rsidP="000D0F24">
      <w:pPr>
        <w:spacing w:after="0" w:line="240" w:lineRule="auto"/>
        <w:rPr>
          <w:i/>
          <w:iCs/>
        </w:rPr>
      </w:pPr>
      <w:r w:rsidRPr="000D0F24">
        <w:rPr>
          <w:i/>
          <w:iCs/>
        </w:rPr>
        <w:t xml:space="preserve">f) limited affordable housing for local community needs under policies set out in the development plan (including policies for rural exception sites); and </w:t>
      </w:r>
    </w:p>
    <w:p w:rsidR="000D0F24" w:rsidRPr="000D0F24" w:rsidRDefault="000D0F24" w:rsidP="000D0F24">
      <w:pPr>
        <w:spacing w:after="0" w:line="240" w:lineRule="auto"/>
        <w:rPr>
          <w:i/>
          <w:iCs/>
        </w:rPr>
      </w:pPr>
      <w:r w:rsidRPr="000D0F24">
        <w:rPr>
          <w:i/>
          <w:iCs/>
        </w:rPr>
        <w:t xml:space="preserve">g) limited infilling or the partial or complete redevelopment of previously developed land, whether redundant or in continuing use (excluding temporary buildings), which would: </w:t>
      </w:r>
    </w:p>
    <w:p w:rsidR="000D0F24" w:rsidRPr="000D0F24" w:rsidRDefault="000D0F24" w:rsidP="000D0F24">
      <w:pPr>
        <w:spacing w:after="0" w:line="240" w:lineRule="auto"/>
        <w:rPr>
          <w:i/>
          <w:iCs/>
        </w:rPr>
      </w:pPr>
      <w:r w:rsidRPr="000D0F24">
        <w:rPr>
          <w:i/>
          <w:iCs/>
        </w:rPr>
        <w:t xml:space="preserve">‒ not have a greater impact on the openness of the Green Belt than the existing development; or </w:t>
      </w:r>
    </w:p>
    <w:p w:rsidR="000D0F24" w:rsidRPr="000D0F24" w:rsidRDefault="000D0F24" w:rsidP="000D0F24">
      <w:pPr>
        <w:spacing w:after="0" w:line="240" w:lineRule="auto"/>
        <w:rPr>
          <w:i/>
          <w:iCs/>
        </w:rPr>
      </w:pPr>
      <w:r w:rsidRPr="000D0F24">
        <w:rPr>
          <w:i/>
          <w:iCs/>
        </w:rPr>
        <w:t>‒ not cause substantial harm to the openness of the Green Belt, where the development would re-use previously developed land and contribute to meeting an identified affordable housing need within the area of the local planning authority.</w:t>
      </w: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92542E">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The development of Greenbelt proposed in the Local Plan is unlikely to meet the requirement for</w:t>
      </w:r>
      <w:r w:rsidR="00A95A06">
        <w:rPr>
          <w:rFonts w:eastAsia="Times New Roman" w:cstheme="minorHAnsi"/>
          <w:color w:val="333333"/>
          <w:lang w:eastAsia="en-GB"/>
        </w:rPr>
        <w:t xml:space="preserve"> ‘</w:t>
      </w:r>
      <w:r>
        <w:rPr>
          <w:rFonts w:eastAsia="Times New Roman" w:cstheme="minorHAnsi"/>
          <w:color w:val="333333"/>
          <w:lang w:eastAsia="en-GB"/>
        </w:rPr>
        <w:t>very special circumstances’ set out in para 148, does not meet the requirements of para 149</w:t>
      </w:r>
      <w:r w:rsidR="00341295">
        <w:rPr>
          <w:rFonts w:eastAsia="Times New Roman" w:cstheme="minorHAnsi"/>
          <w:color w:val="333333"/>
          <w:lang w:eastAsia="en-GB"/>
        </w:rPr>
        <w:t xml:space="preserve"> and does not therefore comply with Policy S4</w:t>
      </w:r>
      <w:r>
        <w:rPr>
          <w:rFonts w:eastAsia="Times New Roman" w:cstheme="minorHAnsi"/>
          <w:color w:val="333333"/>
          <w:lang w:eastAsia="en-GB"/>
        </w:rPr>
        <w:t>.</w:t>
      </w: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92542E">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 xml:space="preserve">Met with this obstacle, the Council is therefore suggesting </w:t>
      </w:r>
      <w:r w:rsidR="00816970">
        <w:rPr>
          <w:rFonts w:eastAsia="Times New Roman" w:cstheme="minorHAnsi"/>
          <w:color w:val="333333"/>
          <w:lang w:eastAsia="en-GB"/>
        </w:rPr>
        <w:t>side-stepping the issue by altering Green Belt boundaries.</w:t>
      </w: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816970" w:rsidRPr="00816970" w:rsidRDefault="00816970" w:rsidP="00816970">
      <w:pPr>
        <w:pStyle w:val="ListParagraph"/>
        <w:numPr>
          <w:ilvl w:val="0"/>
          <w:numId w:val="14"/>
        </w:numPr>
        <w:shd w:val="clear" w:color="auto" w:fill="FCFCFC"/>
        <w:spacing w:after="0" w:line="240" w:lineRule="auto"/>
        <w:textAlignment w:val="baseline"/>
        <w:rPr>
          <w:rFonts w:eastAsia="Times New Roman" w:cstheme="minorHAnsi"/>
          <w:b/>
          <w:bCs/>
          <w:color w:val="333333"/>
          <w:sz w:val="28"/>
          <w:szCs w:val="28"/>
          <w:lang w:eastAsia="en-GB"/>
        </w:rPr>
      </w:pPr>
      <w:r w:rsidRPr="00816970">
        <w:rPr>
          <w:rFonts w:eastAsia="Times New Roman" w:cstheme="minorHAnsi"/>
          <w:b/>
          <w:bCs/>
          <w:color w:val="333333"/>
          <w:sz w:val="28"/>
          <w:szCs w:val="28"/>
          <w:lang w:eastAsia="en-GB"/>
        </w:rPr>
        <w:t>Altering Green Belt boundaries</w:t>
      </w:r>
    </w:p>
    <w:p w:rsidR="000D0F24" w:rsidRDefault="000D0F24" w:rsidP="0092542E">
      <w:pPr>
        <w:shd w:val="clear" w:color="auto" w:fill="FCFCFC"/>
        <w:spacing w:after="0" w:line="240" w:lineRule="auto"/>
        <w:textAlignment w:val="baseline"/>
        <w:rPr>
          <w:rFonts w:eastAsia="Times New Roman" w:cstheme="minorHAnsi"/>
          <w:color w:val="333333"/>
          <w:lang w:eastAsia="en-GB"/>
        </w:rPr>
      </w:pPr>
    </w:p>
    <w:p w:rsidR="002E7F1B" w:rsidRPr="00341295" w:rsidRDefault="002E7F1B" w:rsidP="0092542E">
      <w:pPr>
        <w:shd w:val="clear" w:color="auto" w:fill="FCFCFC"/>
        <w:spacing w:after="0" w:line="240" w:lineRule="auto"/>
        <w:textAlignment w:val="baseline"/>
        <w:rPr>
          <w:rFonts w:eastAsia="Times New Roman" w:cstheme="minorHAnsi"/>
          <w:lang w:eastAsia="en-GB"/>
        </w:rPr>
      </w:pPr>
      <w:bookmarkStart w:id="0" w:name="_Hlk128609283"/>
      <w:r w:rsidRPr="00341295">
        <w:rPr>
          <w:rFonts w:eastAsia="Times New Roman" w:cstheme="minorHAnsi"/>
          <w:lang w:eastAsia="en-GB"/>
        </w:rPr>
        <w:t>Para 140 of the NPPF states:</w:t>
      </w:r>
    </w:p>
    <w:p w:rsidR="002E7F1B" w:rsidRPr="00341295" w:rsidRDefault="002E7F1B" w:rsidP="0092542E">
      <w:pPr>
        <w:shd w:val="clear" w:color="auto" w:fill="FCFCFC"/>
        <w:spacing w:after="0" w:line="240" w:lineRule="auto"/>
        <w:textAlignment w:val="baseline"/>
        <w:rPr>
          <w:rFonts w:eastAsia="Times New Roman" w:cstheme="minorHAnsi"/>
          <w:i/>
          <w:iCs/>
          <w:lang w:eastAsia="en-GB"/>
        </w:rPr>
      </w:pPr>
      <w:r w:rsidRPr="00341295">
        <w:rPr>
          <w:i/>
          <w:iCs/>
        </w:rPr>
        <w:t xml:space="preserve">‘Once established, Green Belt boundaries should only be altered where </w:t>
      </w:r>
      <w:r w:rsidRPr="00341295">
        <w:rPr>
          <w:b/>
          <w:bCs/>
          <w:i/>
          <w:iCs/>
        </w:rPr>
        <w:t>exceptional circumstances are fully evidenced and justified</w:t>
      </w:r>
      <w:r w:rsidRPr="00341295">
        <w:rPr>
          <w:i/>
          <w:iCs/>
        </w:rPr>
        <w:t>, through the preparation or updating of plans.’</w:t>
      </w:r>
    </w:p>
    <w:p w:rsidR="002E7F1B" w:rsidRPr="00341295" w:rsidRDefault="002E7F1B" w:rsidP="0092542E">
      <w:pPr>
        <w:shd w:val="clear" w:color="auto" w:fill="FCFCFC"/>
        <w:spacing w:after="0" w:line="240" w:lineRule="auto"/>
        <w:textAlignment w:val="baseline"/>
        <w:rPr>
          <w:rFonts w:eastAsia="Times New Roman" w:cstheme="minorHAnsi"/>
          <w:lang w:eastAsia="en-GB"/>
        </w:rPr>
      </w:pPr>
    </w:p>
    <w:p w:rsidR="002E7F1B" w:rsidRPr="00341295" w:rsidRDefault="002E7F1B" w:rsidP="0092542E">
      <w:pPr>
        <w:shd w:val="clear" w:color="auto" w:fill="FCFCFC"/>
        <w:spacing w:after="0" w:line="240" w:lineRule="auto"/>
        <w:textAlignment w:val="baseline"/>
        <w:rPr>
          <w:rFonts w:eastAsia="Times New Roman" w:cstheme="minorHAnsi"/>
          <w:lang w:eastAsia="en-GB"/>
        </w:rPr>
      </w:pPr>
      <w:bookmarkStart w:id="1" w:name="_Hlk128559440"/>
      <w:r w:rsidRPr="00341295">
        <w:rPr>
          <w:rFonts w:eastAsia="Times New Roman" w:cstheme="minorHAnsi"/>
          <w:lang w:eastAsia="en-GB"/>
        </w:rPr>
        <w:t>Para 141 of the NPPF states:</w:t>
      </w:r>
    </w:p>
    <w:p w:rsidR="002E7F1B" w:rsidRPr="00341295" w:rsidRDefault="002E7F1B" w:rsidP="0092542E">
      <w:pPr>
        <w:shd w:val="clear" w:color="auto" w:fill="FCFCFC"/>
        <w:spacing w:after="0" w:line="240" w:lineRule="auto"/>
        <w:textAlignment w:val="baseline"/>
        <w:rPr>
          <w:i/>
          <w:iCs/>
        </w:rPr>
      </w:pPr>
      <w:r w:rsidRPr="00341295">
        <w:rPr>
          <w:rFonts w:eastAsia="Times New Roman" w:cstheme="minorHAnsi"/>
          <w:i/>
          <w:iCs/>
          <w:lang w:eastAsia="en-GB"/>
        </w:rPr>
        <w:t>‘</w:t>
      </w:r>
      <w:r w:rsidRPr="00341295">
        <w:rPr>
          <w:i/>
          <w:iCs/>
        </w:rPr>
        <w:t xml:space="preserve">Before concluding that exceptional circumstances exist to justify changes to Green Belt boundaries, the strategic policy-making authority should be able to demonstrate that it has </w:t>
      </w:r>
      <w:r w:rsidRPr="00341295">
        <w:rPr>
          <w:b/>
          <w:bCs/>
          <w:i/>
          <w:iCs/>
        </w:rPr>
        <w:t>examined fully all other reasonable options for meeting its identified need for development</w:t>
      </w:r>
      <w:r w:rsidRPr="00341295">
        <w:rPr>
          <w:i/>
          <w:iCs/>
        </w:rPr>
        <w:t xml:space="preserve">. This will be assessed through the examination of its strategic policies, which will take into account the preceding paragraph, and whether the strategy: </w:t>
      </w:r>
    </w:p>
    <w:p w:rsidR="002E7F1B" w:rsidRPr="00341295" w:rsidRDefault="002E7F1B" w:rsidP="0092542E">
      <w:pPr>
        <w:shd w:val="clear" w:color="auto" w:fill="FCFCFC"/>
        <w:spacing w:after="0" w:line="240" w:lineRule="auto"/>
        <w:textAlignment w:val="baseline"/>
        <w:rPr>
          <w:b/>
          <w:bCs/>
          <w:i/>
          <w:iCs/>
        </w:rPr>
      </w:pPr>
      <w:r w:rsidRPr="00341295">
        <w:rPr>
          <w:b/>
          <w:bCs/>
          <w:i/>
          <w:iCs/>
        </w:rPr>
        <w:t xml:space="preserve">a) makes as much use as possible of suitable brownfield sites and underutilised land; </w:t>
      </w:r>
    </w:p>
    <w:p w:rsidR="002A0CD5" w:rsidRPr="00341295" w:rsidRDefault="002E7F1B" w:rsidP="0092542E">
      <w:pPr>
        <w:shd w:val="clear" w:color="auto" w:fill="FCFCFC"/>
        <w:spacing w:after="0" w:line="240" w:lineRule="auto"/>
        <w:textAlignment w:val="baseline"/>
        <w:rPr>
          <w:b/>
          <w:bCs/>
          <w:i/>
          <w:iCs/>
        </w:rPr>
      </w:pPr>
      <w:r w:rsidRPr="00341295">
        <w:rPr>
          <w:b/>
          <w:bCs/>
          <w:i/>
          <w:iCs/>
        </w:rPr>
        <w:t xml:space="preserve">b) optimises the density of development in line with the policies in chapter 11 of this Framework, including whether policies promote a significant uplift in minimum density standards in town and city centres and other locations well served by public transport; and </w:t>
      </w:r>
    </w:p>
    <w:p w:rsidR="002E7F1B" w:rsidRPr="00341295" w:rsidRDefault="002E7F1B" w:rsidP="0092542E">
      <w:pPr>
        <w:shd w:val="clear" w:color="auto" w:fill="FCFCFC"/>
        <w:spacing w:after="0" w:line="240" w:lineRule="auto"/>
        <w:textAlignment w:val="baseline"/>
        <w:rPr>
          <w:rFonts w:eastAsia="Times New Roman" w:cstheme="minorHAnsi"/>
          <w:i/>
          <w:iCs/>
          <w:lang w:eastAsia="en-GB"/>
        </w:rPr>
      </w:pPr>
      <w:r w:rsidRPr="00341295">
        <w:rPr>
          <w:i/>
          <w:iCs/>
        </w:rPr>
        <w:t>c) has been informed by discussions with neighbouring authorities about whether they could accommodate some of the identified need for development, as demonstrated through the statement of common ground.</w:t>
      </w:r>
      <w:r w:rsidR="002A0CD5" w:rsidRPr="00341295">
        <w:rPr>
          <w:i/>
          <w:iCs/>
        </w:rPr>
        <w:t>’</w:t>
      </w:r>
    </w:p>
    <w:bookmarkEnd w:id="0"/>
    <w:bookmarkEnd w:id="1"/>
    <w:p w:rsidR="002E7F1B" w:rsidRPr="00341295" w:rsidRDefault="002E7F1B" w:rsidP="0092542E">
      <w:pPr>
        <w:shd w:val="clear" w:color="auto" w:fill="FCFCFC"/>
        <w:spacing w:after="0" w:line="240" w:lineRule="auto"/>
        <w:textAlignment w:val="baseline"/>
        <w:rPr>
          <w:rFonts w:eastAsia="Times New Roman" w:cstheme="minorHAnsi"/>
          <w:lang w:eastAsia="en-GB"/>
        </w:rPr>
      </w:pPr>
    </w:p>
    <w:p w:rsidR="002A0CD5" w:rsidRPr="00341295" w:rsidRDefault="00AF0299" w:rsidP="0092542E">
      <w:pPr>
        <w:shd w:val="clear" w:color="auto" w:fill="FCFCFC"/>
        <w:spacing w:after="0" w:line="240" w:lineRule="auto"/>
        <w:textAlignment w:val="baseline"/>
        <w:rPr>
          <w:rFonts w:eastAsia="Times New Roman" w:cstheme="minorHAnsi"/>
          <w:lang w:eastAsia="en-GB"/>
        </w:rPr>
      </w:pPr>
      <w:r w:rsidRPr="00341295">
        <w:rPr>
          <w:rFonts w:eastAsia="Times New Roman" w:cstheme="minorHAnsi"/>
          <w:lang w:eastAsia="en-GB"/>
        </w:rPr>
        <w:t xml:space="preserve">The Council states that it has undertaken the required discussions with neighbouring authorities under para 141 c, and this is not examined further in this paper. </w:t>
      </w:r>
    </w:p>
    <w:p w:rsidR="0092542E" w:rsidRPr="00341295" w:rsidRDefault="0092542E" w:rsidP="0092542E">
      <w:pPr>
        <w:shd w:val="clear" w:color="auto" w:fill="FCFCFC"/>
        <w:spacing w:after="0" w:line="240" w:lineRule="auto"/>
        <w:textAlignment w:val="baseline"/>
        <w:rPr>
          <w:rFonts w:eastAsia="Times New Roman" w:cstheme="minorHAnsi"/>
          <w:lang w:eastAsia="en-GB"/>
        </w:rPr>
      </w:pPr>
    </w:p>
    <w:p w:rsidR="009D6BB3" w:rsidRPr="00341295"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2D2830" w:rsidRPr="00341295"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341295">
        <w:rPr>
          <w:rFonts w:asciiTheme="minorHAnsi" w:hAnsiTheme="minorHAnsi" w:cstheme="minorHAnsi"/>
          <w:sz w:val="22"/>
          <w:szCs w:val="22"/>
        </w:rPr>
        <w:t xml:space="preserve">Para 3.56 </w:t>
      </w:r>
      <w:r w:rsidR="002D2830" w:rsidRPr="00341295">
        <w:rPr>
          <w:rFonts w:asciiTheme="minorHAnsi" w:hAnsiTheme="minorHAnsi" w:cstheme="minorHAnsi"/>
          <w:sz w:val="22"/>
          <w:szCs w:val="22"/>
        </w:rPr>
        <w:t xml:space="preserve">of the Draft Local Plan </w:t>
      </w:r>
      <w:r w:rsidRPr="00341295">
        <w:rPr>
          <w:rFonts w:asciiTheme="minorHAnsi" w:hAnsiTheme="minorHAnsi" w:cstheme="minorHAnsi"/>
          <w:sz w:val="22"/>
          <w:szCs w:val="22"/>
        </w:rPr>
        <w:t xml:space="preserve">states that </w:t>
      </w:r>
    </w:p>
    <w:p w:rsidR="002D2830"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341295">
        <w:rPr>
          <w:rFonts w:asciiTheme="minorHAnsi" w:hAnsiTheme="minorHAnsi" w:cstheme="minorHAnsi"/>
          <w:i/>
          <w:iCs/>
          <w:sz w:val="22"/>
          <w:szCs w:val="22"/>
        </w:rPr>
        <w:t>The council considers that exceptional circumstances exist to justify the amendment of Green Belt boundaries’</w:t>
      </w:r>
      <w:r w:rsidRPr="00341295">
        <w:rPr>
          <w:rFonts w:asciiTheme="minorHAnsi" w:hAnsiTheme="minorHAnsi" w:cstheme="minorHAnsi"/>
          <w:sz w:val="22"/>
          <w:szCs w:val="22"/>
        </w:rPr>
        <w:t xml:space="preserve"> </w:t>
      </w:r>
    </w:p>
    <w:p w:rsidR="00341295" w:rsidRPr="00341295" w:rsidRDefault="00341295"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341295"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341295">
        <w:rPr>
          <w:rFonts w:asciiTheme="minorHAnsi" w:hAnsiTheme="minorHAnsi" w:cstheme="minorHAnsi"/>
          <w:sz w:val="22"/>
          <w:szCs w:val="22"/>
        </w:rPr>
        <w:t>The Council’s case</w:t>
      </w:r>
      <w:r w:rsidR="00341295" w:rsidRPr="00341295">
        <w:rPr>
          <w:rFonts w:asciiTheme="minorHAnsi" w:hAnsiTheme="minorHAnsi" w:cstheme="minorHAnsi"/>
          <w:sz w:val="22"/>
          <w:szCs w:val="22"/>
        </w:rPr>
        <w:t xml:space="preserve"> for exceptional circumstances</w:t>
      </w:r>
      <w:r w:rsidRPr="00341295">
        <w:rPr>
          <w:rFonts w:asciiTheme="minorHAnsi" w:hAnsiTheme="minorHAnsi" w:cstheme="minorHAnsi"/>
          <w:sz w:val="22"/>
          <w:szCs w:val="22"/>
        </w:rPr>
        <w:t xml:space="preserve"> </w:t>
      </w:r>
      <w:r w:rsidR="002D2830" w:rsidRPr="00341295">
        <w:rPr>
          <w:rFonts w:asciiTheme="minorHAnsi" w:hAnsiTheme="minorHAnsi" w:cstheme="minorHAnsi"/>
          <w:sz w:val="22"/>
          <w:szCs w:val="22"/>
        </w:rPr>
        <w:t>i</w:t>
      </w:r>
      <w:r w:rsidRPr="00341295">
        <w:rPr>
          <w:rFonts w:asciiTheme="minorHAnsi" w:hAnsiTheme="minorHAnsi" w:cstheme="minorHAnsi"/>
          <w:sz w:val="22"/>
          <w:szCs w:val="22"/>
        </w:rPr>
        <w:t>s presented in the ‘EEBC Green Belt Technical Note _2023’</w:t>
      </w:r>
      <w:r w:rsidR="00495914" w:rsidRPr="00341295">
        <w:rPr>
          <w:rFonts w:asciiTheme="minorHAnsi" w:hAnsiTheme="minorHAnsi" w:cstheme="minorHAnsi"/>
          <w:sz w:val="22"/>
          <w:szCs w:val="22"/>
        </w:rPr>
        <w:t xml:space="preserve"> which</w:t>
      </w:r>
      <w:r w:rsidRPr="00341295">
        <w:rPr>
          <w:rFonts w:asciiTheme="minorHAnsi" w:hAnsiTheme="minorHAnsi" w:cstheme="minorHAnsi"/>
          <w:sz w:val="22"/>
          <w:szCs w:val="22"/>
        </w:rPr>
        <w:t xml:space="preserve"> is included as a </w:t>
      </w:r>
      <w:r w:rsidR="00495914" w:rsidRPr="00341295">
        <w:rPr>
          <w:rFonts w:asciiTheme="minorHAnsi" w:hAnsiTheme="minorHAnsi" w:cstheme="minorHAnsi"/>
          <w:sz w:val="22"/>
          <w:szCs w:val="22"/>
        </w:rPr>
        <w:t xml:space="preserve">recently appended </w:t>
      </w:r>
      <w:r w:rsidRPr="00341295">
        <w:rPr>
          <w:rFonts w:asciiTheme="minorHAnsi" w:hAnsiTheme="minorHAnsi" w:cstheme="minorHAnsi"/>
          <w:sz w:val="22"/>
          <w:szCs w:val="22"/>
        </w:rPr>
        <w:t>forward to the 2017 Greenbelt Study.</w:t>
      </w:r>
    </w:p>
    <w:p w:rsidR="009D6BB3" w:rsidRDefault="009D6BB3" w:rsidP="0092542E">
      <w:pPr>
        <w:pStyle w:val="NormalWeb"/>
        <w:shd w:val="clear" w:color="auto" w:fill="FFFFFF"/>
        <w:spacing w:before="0" w:beforeAutospacing="0" w:after="0" w:afterAutospacing="0"/>
        <w:rPr>
          <w:rFonts w:asciiTheme="minorHAnsi" w:hAnsiTheme="minorHAnsi" w:cstheme="minorHAnsi"/>
          <w:color w:val="333333"/>
          <w:sz w:val="22"/>
          <w:szCs w:val="22"/>
        </w:rPr>
      </w:pPr>
    </w:p>
    <w:p w:rsidR="00341295" w:rsidRDefault="00341295" w:rsidP="0092542E">
      <w:pPr>
        <w:pStyle w:val="NormalWeb"/>
        <w:shd w:val="clear" w:color="auto" w:fill="FFFFFF"/>
        <w:spacing w:before="0" w:beforeAutospacing="0" w:after="0" w:afterAutospacing="0"/>
        <w:rPr>
          <w:rFonts w:asciiTheme="minorHAnsi" w:hAnsiTheme="minorHAnsi" w:cstheme="minorHAnsi"/>
          <w:color w:val="333333"/>
          <w:sz w:val="22"/>
          <w:szCs w:val="22"/>
        </w:rPr>
      </w:pPr>
    </w:p>
    <w:p w:rsidR="00495914" w:rsidRPr="00D078FB" w:rsidRDefault="00495914" w:rsidP="00D078FB">
      <w:pPr>
        <w:pStyle w:val="NormalWeb"/>
        <w:numPr>
          <w:ilvl w:val="0"/>
          <w:numId w:val="14"/>
        </w:numPr>
        <w:shd w:val="clear" w:color="auto" w:fill="FFFFFF"/>
        <w:spacing w:before="0" w:beforeAutospacing="0" w:after="0" w:afterAutospacing="0"/>
        <w:rPr>
          <w:rFonts w:asciiTheme="minorHAnsi" w:hAnsiTheme="minorHAnsi" w:cstheme="minorHAnsi"/>
          <w:b/>
          <w:bCs/>
          <w:color w:val="333333"/>
          <w:sz w:val="28"/>
          <w:szCs w:val="28"/>
          <w:u w:val="single"/>
        </w:rPr>
      </w:pPr>
      <w:r w:rsidRPr="00D078FB">
        <w:rPr>
          <w:rFonts w:asciiTheme="minorHAnsi" w:hAnsiTheme="minorHAnsi" w:cstheme="minorHAnsi"/>
          <w:b/>
          <w:bCs/>
          <w:color w:val="333333"/>
          <w:sz w:val="28"/>
          <w:szCs w:val="28"/>
          <w:u w:val="single"/>
        </w:rPr>
        <w:t>Exceptional circumstances</w:t>
      </w:r>
    </w:p>
    <w:p w:rsidR="00AE34A6" w:rsidRDefault="00AE34A6" w:rsidP="0092542E">
      <w:pPr>
        <w:pStyle w:val="NormalWeb"/>
        <w:shd w:val="clear" w:color="auto" w:fill="FFFFFF"/>
        <w:spacing w:before="0" w:beforeAutospacing="0" w:after="0" w:afterAutospacing="0"/>
        <w:rPr>
          <w:rFonts w:asciiTheme="minorHAnsi" w:hAnsiTheme="minorHAnsi" w:cstheme="minorHAnsi"/>
          <w:b/>
          <w:bCs/>
          <w:color w:val="333333"/>
          <w:sz w:val="22"/>
          <w:szCs w:val="22"/>
          <w:u w:val="single"/>
        </w:rPr>
      </w:pPr>
    </w:p>
    <w:p w:rsidR="00AE34A6" w:rsidRPr="006B6A0E" w:rsidRDefault="00AE34A6" w:rsidP="0092542E">
      <w:pPr>
        <w:pStyle w:val="NormalWeb"/>
        <w:shd w:val="clear" w:color="auto" w:fill="FFFFFF"/>
        <w:spacing w:before="0" w:beforeAutospacing="0" w:after="0" w:afterAutospacing="0"/>
        <w:rPr>
          <w:rFonts w:asciiTheme="minorHAnsi" w:hAnsiTheme="minorHAnsi" w:cstheme="minorHAnsi"/>
          <w:b/>
          <w:bCs/>
          <w:color w:val="333333"/>
          <w:sz w:val="22"/>
          <w:szCs w:val="22"/>
          <w:u w:val="single"/>
        </w:rPr>
      </w:pPr>
      <w:r>
        <w:rPr>
          <w:rFonts w:asciiTheme="minorHAnsi" w:hAnsiTheme="minorHAnsi" w:cstheme="minorHAnsi"/>
          <w:b/>
          <w:bCs/>
          <w:color w:val="333333"/>
          <w:sz w:val="22"/>
          <w:szCs w:val="22"/>
          <w:u w:val="single"/>
        </w:rPr>
        <w:t>Analysis of the applicability of Compton PC v Guildford BC</w:t>
      </w:r>
    </w:p>
    <w:p w:rsidR="00495914" w:rsidRDefault="009D6BB3" w:rsidP="0092542E">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Paragraph 4.2 of the Green Belt Technical Note refers to the case of Compton PC v Guildford BC (2019)</w:t>
      </w:r>
      <w:r w:rsidR="00FD051B">
        <w:rPr>
          <w:rFonts w:asciiTheme="minorHAnsi" w:hAnsiTheme="minorHAnsi" w:cstheme="minorHAnsi"/>
          <w:color w:val="333333"/>
          <w:sz w:val="22"/>
          <w:szCs w:val="22"/>
        </w:rPr>
        <w:t xml:space="preserve"> (‘the Case’)</w:t>
      </w:r>
      <w:r w:rsidRPr="0092542E">
        <w:rPr>
          <w:rFonts w:asciiTheme="minorHAnsi" w:hAnsiTheme="minorHAnsi" w:cstheme="minorHAnsi"/>
          <w:color w:val="333333"/>
          <w:sz w:val="22"/>
          <w:szCs w:val="22"/>
        </w:rPr>
        <w:t xml:space="preserve">, in which it was </w:t>
      </w:r>
      <w:r w:rsidRPr="00FD051B">
        <w:rPr>
          <w:rFonts w:asciiTheme="minorHAnsi" w:hAnsiTheme="minorHAnsi" w:cstheme="minorHAnsi"/>
          <w:i/>
          <w:iCs/>
          <w:color w:val="333333"/>
          <w:sz w:val="22"/>
          <w:szCs w:val="22"/>
        </w:rPr>
        <w:t xml:space="preserve">‘determined that ‘exceptional circumstances’ is a matter of planning judgement’. </w:t>
      </w:r>
    </w:p>
    <w:p w:rsidR="00495914" w:rsidRDefault="00495914" w:rsidP="0092542E">
      <w:pPr>
        <w:pStyle w:val="NormalWeb"/>
        <w:shd w:val="clear" w:color="auto" w:fill="FFFFFF"/>
        <w:spacing w:before="0" w:beforeAutospacing="0" w:after="0" w:afterAutospacing="0"/>
        <w:rPr>
          <w:rFonts w:asciiTheme="minorHAnsi" w:hAnsiTheme="minorHAnsi" w:cstheme="minorHAnsi"/>
          <w:color w:val="333333"/>
          <w:sz w:val="22"/>
          <w:szCs w:val="22"/>
        </w:rPr>
      </w:pPr>
    </w:p>
    <w:p w:rsidR="00FD051B" w:rsidRDefault="00FD051B" w:rsidP="0092542E">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The Case contains a number of important features which are worthy of consideration.</w:t>
      </w:r>
    </w:p>
    <w:p w:rsidR="00FD051B" w:rsidRDefault="00FD051B" w:rsidP="0092542E">
      <w:pPr>
        <w:pStyle w:val="NormalWeb"/>
        <w:shd w:val="clear" w:color="auto" w:fill="FFFFFF"/>
        <w:spacing w:before="0" w:beforeAutospacing="0" w:after="0" w:afterAutospacing="0"/>
        <w:rPr>
          <w:rFonts w:asciiTheme="minorHAnsi" w:hAnsiTheme="minorHAnsi" w:cstheme="minorHAnsi"/>
          <w:color w:val="333333"/>
          <w:sz w:val="22"/>
          <w:szCs w:val="22"/>
        </w:rPr>
      </w:pPr>
    </w:p>
    <w:p w:rsidR="0037587D" w:rsidRPr="005229DB" w:rsidRDefault="005229DB" w:rsidP="00BA4533">
      <w:pPr>
        <w:pStyle w:val="NormalWeb"/>
        <w:numPr>
          <w:ilvl w:val="0"/>
          <w:numId w:val="15"/>
        </w:numPr>
        <w:shd w:val="clear" w:color="auto" w:fill="FFFFFF"/>
        <w:spacing w:before="0" w:beforeAutospacing="0" w:after="0" w:afterAutospacing="0"/>
        <w:rPr>
          <w:rFonts w:asciiTheme="minorHAnsi" w:hAnsiTheme="minorHAnsi" w:cstheme="minorHAnsi"/>
          <w:color w:val="333333"/>
          <w:sz w:val="22"/>
          <w:szCs w:val="22"/>
          <w:u w:val="single"/>
        </w:rPr>
      </w:pPr>
      <w:r>
        <w:rPr>
          <w:rFonts w:asciiTheme="minorHAnsi" w:hAnsiTheme="minorHAnsi" w:cstheme="minorHAnsi"/>
          <w:color w:val="333333"/>
          <w:sz w:val="22"/>
          <w:szCs w:val="22"/>
          <w:u w:val="single"/>
        </w:rPr>
        <w:t>The NPPF confirms it is not necessary to meet</w:t>
      </w:r>
      <w:r w:rsidR="0037587D" w:rsidRPr="005229DB">
        <w:rPr>
          <w:rFonts w:asciiTheme="minorHAnsi" w:hAnsiTheme="minorHAnsi" w:cstheme="minorHAnsi"/>
          <w:color w:val="333333"/>
          <w:sz w:val="22"/>
          <w:szCs w:val="22"/>
          <w:u w:val="single"/>
        </w:rPr>
        <w:t xml:space="preserve"> </w:t>
      </w:r>
      <w:r>
        <w:rPr>
          <w:rFonts w:asciiTheme="minorHAnsi" w:hAnsiTheme="minorHAnsi" w:cstheme="minorHAnsi"/>
          <w:color w:val="333333"/>
          <w:sz w:val="22"/>
          <w:szCs w:val="22"/>
          <w:u w:val="single"/>
        </w:rPr>
        <w:t xml:space="preserve">housing </w:t>
      </w:r>
      <w:r w:rsidR="0037587D" w:rsidRPr="005229DB">
        <w:rPr>
          <w:rFonts w:asciiTheme="minorHAnsi" w:hAnsiTheme="minorHAnsi" w:cstheme="minorHAnsi"/>
          <w:color w:val="333333"/>
          <w:sz w:val="22"/>
          <w:szCs w:val="22"/>
          <w:u w:val="single"/>
        </w:rPr>
        <w:t>targets</w:t>
      </w:r>
      <w:r w:rsidR="00BA4533">
        <w:rPr>
          <w:rFonts w:asciiTheme="minorHAnsi" w:hAnsiTheme="minorHAnsi" w:cstheme="minorHAnsi"/>
          <w:color w:val="333333"/>
          <w:sz w:val="22"/>
          <w:szCs w:val="22"/>
          <w:u w:val="single"/>
        </w:rPr>
        <w:t xml:space="preserve"> if this would require building on Green Belt</w:t>
      </w:r>
    </w:p>
    <w:p w:rsidR="00BA4533" w:rsidRDefault="0037587D" w:rsidP="0092542E">
      <w:pPr>
        <w:pStyle w:val="NormalWeb"/>
        <w:shd w:val="clear" w:color="auto" w:fill="FFFFFF"/>
        <w:spacing w:before="0" w:beforeAutospacing="0" w:after="0" w:afterAutospacing="0"/>
        <w:rPr>
          <w:rFonts w:asciiTheme="minorHAnsi" w:hAnsiTheme="minorHAnsi" w:cstheme="minorHAnsi"/>
          <w:sz w:val="22"/>
          <w:szCs w:val="22"/>
        </w:rPr>
      </w:pPr>
      <w:r w:rsidRPr="005229DB">
        <w:rPr>
          <w:rFonts w:asciiTheme="minorHAnsi" w:hAnsiTheme="minorHAnsi" w:cstheme="minorHAnsi"/>
          <w:sz w:val="22"/>
          <w:szCs w:val="22"/>
        </w:rPr>
        <w:t>The judge explained that</w:t>
      </w:r>
      <w:r w:rsidR="00BA4533">
        <w:rPr>
          <w:rFonts w:asciiTheme="minorHAnsi" w:hAnsiTheme="minorHAnsi" w:cstheme="minorHAnsi"/>
          <w:sz w:val="22"/>
          <w:szCs w:val="22"/>
        </w:rPr>
        <w:t>:</w:t>
      </w:r>
    </w:p>
    <w:p w:rsidR="0037587D" w:rsidRPr="006A1B7C" w:rsidRDefault="0037587D" w:rsidP="0092542E">
      <w:pPr>
        <w:pStyle w:val="NormalWeb"/>
        <w:shd w:val="clear" w:color="auto" w:fill="FFFFFF"/>
        <w:spacing w:before="0" w:beforeAutospacing="0" w:after="0" w:afterAutospacing="0"/>
        <w:rPr>
          <w:rFonts w:asciiTheme="minorHAnsi" w:hAnsiTheme="minorHAnsi" w:cstheme="minorHAnsi"/>
          <w:i/>
          <w:iCs/>
          <w:sz w:val="22"/>
          <w:szCs w:val="22"/>
        </w:rPr>
      </w:pPr>
      <w:r w:rsidRPr="00BA4533">
        <w:rPr>
          <w:rFonts w:asciiTheme="minorHAnsi" w:hAnsiTheme="minorHAnsi" w:cstheme="minorHAnsi"/>
          <w:i/>
          <w:iCs/>
          <w:sz w:val="22"/>
          <w:szCs w:val="22"/>
        </w:rPr>
        <w:t>‘t</w:t>
      </w:r>
      <w:r w:rsidRPr="00BA4533">
        <w:rPr>
          <w:rFonts w:asciiTheme="minorHAnsi" w:hAnsiTheme="minorHAnsi" w:cstheme="minorHAnsi"/>
          <w:i/>
          <w:iCs/>
          <w:sz w:val="22"/>
          <w:szCs w:val="22"/>
        </w:rPr>
        <w:t xml:space="preserve">he NPPF itself recognises that the </w:t>
      </w:r>
      <w:r w:rsidRPr="00BA4533">
        <w:rPr>
          <w:rFonts w:asciiTheme="minorHAnsi" w:hAnsiTheme="minorHAnsi" w:cstheme="minorHAnsi"/>
          <w:i/>
          <w:iCs/>
          <w:sz w:val="22"/>
          <w:szCs w:val="22"/>
        </w:rPr>
        <w:t xml:space="preserve">[objectively assessed need] </w:t>
      </w:r>
      <w:r w:rsidRPr="00BA4533">
        <w:rPr>
          <w:rFonts w:asciiTheme="minorHAnsi" w:hAnsiTheme="minorHAnsi" w:cstheme="minorHAnsi"/>
          <w:i/>
          <w:iCs/>
          <w:sz w:val="22"/>
          <w:szCs w:val="22"/>
        </w:rPr>
        <w:t>at the policy-off stage may not be met by the conclusion of the policy-on stage. NPPF [47], set out above, accepts that the OAN is to be met “</w:t>
      </w:r>
      <w:r w:rsidRPr="006A1B7C">
        <w:rPr>
          <w:rFonts w:asciiTheme="minorHAnsi" w:hAnsiTheme="minorHAnsi" w:cstheme="minorHAnsi"/>
          <w:i/>
          <w:iCs/>
          <w:sz w:val="22"/>
          <w:szCs w:val="22"/>
        </w:rPr>
        <w:t xml:space="preserve">so far as is consistent with the policies set out in this </w:t>
      </w:r>
      <w:r w:rsidR="00BA4533" w:rsidRPr="006A1B7C">
        <w:rPr>
          <w:rFonts w:asciiTheme="minorHAnsi" w:hAnsiTheme="minorHAnsi" w:cstheme="minorHAnsi"/>
          <w:i/>
          <w:iCs/>
          <w:sz w:val="22"/>
          <w:szCs w:val="22"/>
        </w:rPr>
        <w:t>F</w:t>
      </w:r>
      <w:r w:rsidRPr="006A1B7C">
        <w:rPr>
          <w:rFonts w:asciiTheme="minorHAnsi" w:hAnsiTheme="minorHAnsi" w:cstheme="minorHAnsi"/>
          <w:i/>
          <w:iCs/>
          <w:sz w:val="22"/>
          <w:szCs w:val="22"/>
        </w:rPr>
        <w:t>ramework.” NPPF [14] puts it slightly differently but to the same effect: those needs should be met “unless specific policies in the Framework indicate that development should be restricted.” Those include Green Belt policies.</w:t>
      </w:r>
      <w:r w:rsidRPr="006A1B7C">
        <w:rPr>
          <w:rFonts w:asciiTheme="minorHAnsi" w:hAnsiTheme="minorHAnsi" w:cstheme="minorHAnsi"/>
          <w:i/>
          <w:iCs/>
          <w:sz w:val="22"/>
          <w:szCs w:val="22"/>
        </w:rPr>
        <w:t>’</w:t>
      </w:r>
    </w:p>
    <w:p w:rsidR="0037587D" w:rsidRPr="006A1B7C" w:rsidRDefault="0037587D" w:rsidP="0092542E">
      <w:pPr>
        <w:pStyle w:val="NormalWeb"/>
        <w:shd w:val="clear" w:color="auto" w:fill="FFFFFF"/>
        <w:spacing w:before="0" w:beforeAutospacing="0" w:after="0" w:afterAutospacing="0"/>
        <w:rPr>
          <w:rFonts w:asciiTheme="minorHAnsi" w:hAnsiTheme="minorHAnsi" w:cstheme="minorHAnsi"/>
          <w:sz w:val="22"/>
          <w:szCs w:val="22"/>
        </w:rPr>
      </w:pPr>
    </w:p>
    <w:p w:rsidR="006A1B7C" w:rsidRPr="006A1B7C" w:rsidRDefault="006A1B7C" w:rsidP="0092542E">
      <w:pPr>
        <w:pStyle w:val="NormalWeb"/>
        <w:shd w:val="clear" w:color="auto" w:fill="FFFFFF"/>
        <w:spacing w:before="0" w:beforeAutospacing="0" w:after="0" w:afterAutospacing="0"/>
        <w:rPr>
          <w:rFonts w:asciiTheme="minorHAnsi" w:hAnsiTheme="minorHAnsi" w:cstheme="minorHAnsi"/>
          <w:sz w:val="22"/>
          <w:szCs w:val="22"/>
        </w:rPr>
      </w:pPr>
    </w:p>
    <w:p w:rsidR="006B6A0E" w:rsidRPr="006A1B7C" w:rsidRDefault="006B6A0E" w:rsidP="00BA4533">
      <w:pPr>
        <w:pStyle w:val="NormalWeb"/>
        <w:numPr>
          <w:ilvl w:val="0"/>
          <w:numId w:val="15"/>
        </w:numPr>
        <w:shd w:val="clear" w:color="auto" w:fill="FFFFFF"/>
        <w:spacing w:before="0" w:beforeAutospacing="0" w:after="0" w:afterAutospacing="0"/>
        <w:rPr>
          <w:rFonts w:asciiTheme="minorHAnsi" w:hAnsiTheme="minorHAnsi" w:cstheme="minorHAnsi"/>
          <w:sz w:val="22"/>
          <w:szCs w:val="22"/>
          <w:u w:val="single"/>
        </w:rPr>
      </w:pPr>
      <w:r w:rsidRPr="006A1B7C">
        <w:rPr>
          <w:rFonts w:asciiTheme="minorHAnsi" w:hAnsiTheme="minorHAnsi" w:cstheme="minorHAnsi"/>
          <w:sz w:val="22"/>
          <w:szCs w:val="22"/>
          <w:u w:val="single"/>
        </w:rPr>
        <w:t>Planning judgement</w:t>
      </w:r>
    </w:p>
    <w:p w:rsidR="006A1B7C" w:rsidRPr="006A1B7C" w:rsidRDefault="006A1B7C" w:rsidP="0092542E">
      <w:pPr>
        <w:pStyle w:val="NormalWeb"/>
        <w:shd w:val="clear" w:color="auto" w:fill="FFFFFF"/>
        <w:spacing w:before="0" w:beforeAutospacing="0" w:after="0" w:afterAutospacing="0"/>
        <w:rPr>
          <w:rFonts w:asciiTheme="minorHAnsi" w:hAnsiTheme="minorHAnsi" w:cstheme="minorHAnsi"/>
          <w:sz w:val="22"/>
          <w:szCs w:val="22"/>
        </w:rPr>
      </w:pPr>
      <w:r w:rsidRPr="006A1B7C">
        <w:rPr>
          <w:rFonts w:asciiTheme="minorHAnsi" w:hAnsiTheme="minorHAnsi" w:cstheme="minorHAnsi"/>
          <w:sz w:val="22"/>
          <w:szCs w:val="22"/>
        </w:rPr>
        <w:t xml:space="preserve">The judge explained that </w:t>
      </w:r>
      <w:r w:rsidRPr="006A1B7C">
        <w:rPr>
          <w:rFonts w:asciiTheme="minorHAnsi" w:hAnsiTheme="minorHAnsi" w:cstheme="minorHAnsi"/>
          <w:sz w:val="22"/>
          <w:szCs w:val="22"/>
        </w:rPr>
        <w:t>in the absence of a ‘dictionary definition’ of ‘exceptional circumstances</w:t>
      </w:r>
      <w:r>
        <w:rPr>
          <w:rFonts w:asciiTheme="minorHAnsi" w:hAnsiTheme="minorHAnsi" w:cstheme="minorHAnsi"/>
          <w:sz w:val="22"/>
          <w:szCs w:val="22"/>
        </w:rPr>
        <w:t>’</w:t>
      </w:r>
      <w:r w:rsidRPr="006A1B7C">
        <w:rPr>
          <w:rFonts w:asciiTheme="minorHAnsi" w:hAnsiTheme="minorHAnsi" w:cstheme="minorHAnsi"/>
          <w:sz w:val="22"/>
          <w:szCs w:val="22"/>
        </w:rPr>
        <w:t xml:space="preserve">, there is an opportunity to </w:t>
      </w:r>
      <w:r>
        <w:rPr>
          <w:rFonts w:asciiTheme="minorHAnsi" w:hAnsiTheme="minorHAnsi" w:cstheme="minorHAnsi"/>
          <w:sz w:val="22"/>
          <w:szCs w:val="22"/>
        </w:rPr>
        <w:t>‘</w:t>
      </w:r>
      <w:r w:rsidRPr="006A1B7C">
        <w:rPr>
          <w:rFonts w:asciiTheme="minorHAnsi" w:hAnsiTheme="minorHAnsi" w:cstheme="minorHAnsi"/>
          <w:sz w:val="22"/>
          <w:szCs w:val="22"/>
        </w:rPr>
        <w:t>apply planning judgement</w:t>
      </w:r>
      <w:r>
        <w:rPr>
          <w:rFonts w:asciiTheme="minorHAnsi" w:hAnsiTheme="minorHAnsi" w:cstheme="minorHAnsi"/>
          <w:sz w:val="22"/>
          <w:szCs w:val="22"/>
        </w:rPr>
        <w:t>’</w:t>
      </w:r>
      <w:r w:rsidRPr="006A1B7C">
        <w:rPr>
          <w:rFonts w:asciiTheme="minorHAnsi" w:hAnsiTheme="minorHAnsi" w:cstheme="minorHAnsi"/>
          <w:sz w:val="22"/>
          <w:szCs w:val="22"/>
        </w:rPr>
        <w:t xml:space="preserve"> where this judgement is based on ‘all the circumstances of any particular case’.</w:t>
      </w:r>
    </w:p>
    <w:p w:rsidR="006A1B7C" w:rsidRPr="006A1B7C" w:rsidRDefault="006A1B7C"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6A1B7C"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6A1B7C">
        <w:rPr>
          <w:rFonts w:asciiTheme="minorHAnsi" w:hAnsiTheme="minorHAnsi" w:cstheme="minorHAnsi"/>
          <w:sz w:val="22"/>
          <w:szCs w:val="22"/>
        </w:rPr>
        <w:t>As with all planning judgements, great care must be exercised in their application, as the consequences of poor judgement are often both wide ranging and permanent. In the case of deciding whether or not permanently to remove the protected status from Greenbelt land in Epsom &amp; Ewell</w:t>
      </w:r>
      <w:r w:rsidR="006A1B7C">
        <w:rPr>
          <w:rFonts w:asciiTheme="minorHAnsi" w:hAnsiTheme="minorHAnsi" w:cstheme="minorHAnsi"/>
          <w:sz w:val="22"/>
          <w:szCs w:val="22"/>
        </w:rPr>
        <w:t>,</w:t>
      </w:r>
      <w:r w:rsidRPr="006A1B7C">
        <w:rPr>
          <w:rFonts w:asciiTheme="minorHAnsi" w:hAnsiTheme="minorHAnsi" w:cstheme="minorHAnsi"/>
          <w:sz w:val="22"/>
          <w:szCs w:val="22"/>
        </w:rPr>
        <w:t xml:space="preserve"> that has held this status for the best part of a century, and </w:t>
      </w:r>
      <w:r w:rsidR="004A5421" w:rsidRPr="006A1B7C">
        <w:rPr>
          <w:rFonts w:asciiTheme="minorHAnsi" w:hAnsiTheme="minorHAnsi" w:cstheme="minorHAnsi"/>
          <w:sz w:val="22"/>
          <w:szCs w:val="22"/>
        </w:rPr>
        <w:t xml:space="preserve">which </w:t>
      </w:r>
      <w:r w:rsidRPr="006A1B7C">
        <w:rPr>
          <w:rFonts w:asciiTheme="minorHAnsi" w:hAnsiTheme="minorHAnsi" w:cstheme="minorHAnsi"/>
          <w:sz w:val="22"/>
          <w:szCs w:val="22"/>
        </w:rPr>
        <w:t>has been open for many hundreds of years before that, the exercise of that judgement takes on an even more profound and serious status.</w:t>
      </w:r>
    </w:p>
    <w:p w:rsidR="009D6BB3" w:rsidRPr="006A1B7C"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E714FD" w:rsidRDefault="00591448" w:rsidP="0092542E">
      <w:pPr>
        <w:pStyle w:val="NormalWeb"/>
        <w:shd w:val="clear" w:color="auto" w:fill="FFFFFF"/>
        <w:spacing w:before="0" w:beforeAutospacing="0" w:after="0" w:afterAutospacing="0"/>
        <w:rPr>
          <w:rFonts w:asciiTheme="minorHAnsi" w:hAnsiTheme="minorHAnsi" w:cstheme="minorHAnsi"/>
          <w:sz w:val="22"/>
          <w:szCs w:val="22"/>
        </w:rPr>
      </w:pPr>
      <w:r w:rsidRPr="006A1B7C">
        <w:rPr>
          <w:rFonts w:asciiTheme="minorHAnsi" w:hAnsiTheme="minorHAnsi" w:cstheme="minorHAnsi"/>
          <w:sz w:val="22"/>
          <w:szCs w:val="22"/>
        </w:rPr>
        <w:t>The judge, in the</w:t>
      </w:r>
      <w:r w:rsidR="009D6BB3" w:rsidRPr="006A1B7C">
        <w:rPr>
          <w:rFonts w:asciiTheme="minorHAnsi" w:hAnsiTheme="minorHAnsi" w:cstheme="minorHAnsi"/>
          <w:sz w:val="22"/>
          <w:szCs w:val="22"/>
        </w:rPr>
        <w:t xml:space="preserve"> case of Compton PC v Guildford BC </w:t>
      </w:r>
      <w:r w:rsidRPr="006A1B7C">
        <w:rPr>
          <w:rFonts w:asciiTheme="minorHAnsi" w:hAnsiTheme="minorHAnsi" w:cstheme="minorHAnsi"/>
          <w:sz w:val="22"/>
          <w:szCs w:val="22"/>
        </w:rPr>
        <w:t xml:space="preserve">explained </w:t>
      </w:r>
      <w:r w:rsidR="009D6BB3" w:rsidRPr="006A1B7C">
        <w:rPr>
          <w:rFonts w:asciiTheme="minorHAnsi" w:hAnsiTheme="minorHAnsi" w:cstheme="minorHAnsi"/>
          <w:sz w:val="22"/>
          <w:szCs w:val="22"/>
        </w:rPr>
        <w:t xml:space="preserve">that it </w:t>
      </w:r>
      <w:r w:rsidRPr="006A1B7C">
        <w:rPr>
          <w:rFonts w:asciiTheme="minorHAnsi" w:hAnsiTheme="minorHAnsi" w:cstheme="minorHAnsi"/>
          <w:sz w:val="22"/>
          <w:szCs w:val="22"/>
        </w:rPr>
        <w:t>wa</w:t>
      </w:r>
      <w:r w:rsidR="009D6BB3" w:rsidRPr="006A1B7C">
        <w:rPr>
          <w:rFonts w:asciiTheme="minorHAnsi" w:hAnsiTheme="minorHAnsi" w:cstheme="minorHAnsi"/>
          <w:sz w:val="22"/>
          <w:szCs w:val="22"/>
        </w:rPr>
        <w:t xml:space="preserve">s possible </w:t>
      </w:r>
      <w:r w:rsidR="004A5421" w:rsidRPr="006A1B7C">
        <w:rPr>
          <w:rFonts w:asciiTheme="minorHAnsi" w:hAnsiTheme="minorHAnsi" w:cstheme="minorHAnsi"/>
          <w:sz w:val="22"/>
          <w:szCs w:val="22"/>
        </w:rPr>
        <w:t xml:space="preserve">successfully to </w:t>
      </w:r>
      <w:r w:rsidR="004A5421" w:rsidRPr="00E714FD">
        <w:rPr>
          <w:rFonts w:asciiTheme="minorHAnsi" w:hAnsiTheme="minorHAnsi" w:cstheme="minorHAnsi"/>
          <w:sz w:val="22"/>
          <w:szCs w:val="22"/>
        </w:rPr>
        <w:t xml:space="preserve">argue </w:t>
      </w:r>
      <w:r w:rsidR="006A1B7C" w:rsidRPr="00E714FD">
        <w:rPr>
          <w:rFonts w:asciiTheme="minorHAnsi" w:hAnsiTheme="minorHAnsi" w:cstheme="minorHAnsi"/>
          <w:sz w:val="22"/>
          <w:szCs w:val="22"/>
        </w:rPr>
        <w:t>that</w:t>
      </w:r>
      <w:r w:rsidR="009D6BB3" w:rsidRPr="00E714FD">
        <w:rPr>
          <w:rFonts w:asciiTheme="minorHAnsi" w:hAnsiTheme="minorHAnsi" w:cstheme="minorHAnsi"/>
          <w:sz w:val="22"/>
          <w:szCs w:val="22"/>
        </w:rPr>
        <w:t xml:space="preserve"> ‘exceptional circumstances’ include</w:t>
      </w:r>
      <w:r w:rsidR="006A1B7C" w:rsidRPr="00E714FD">
        <w:rPr>
          <w:rFonts w:asciiTheme="minorHAnsi" w:hAnsiTheme="minorHAnsi" w:cstheme="minorHAnsi"/>
          <w:sz w:val="22"/>
          <w:szCs w:val="22"/>
        </w:rPr>
        <w:t>s</w:t>
      </w:r>
      <w:r w:rsidR="009D6BB3" w:rsidRPr="00E714FD">
        <w:rPr>
          <w:rFonts w:asciiTheme="minorHAnsi" w:hAnsiTheme="minorHAnsi" w:cstheme="minorHAnsi"/>
          <w:sz w:val="22"/>
          <w:szCs w:val="22"/>
        </w:rPr>
        <w:t xml:space="preserve"> meeting the need for housing</w:t>
      </w:r>
      <w:r w:rsidR="006A1B7C" w:rsidRPr="00E714FD">
        <w:rPr>
          <w:rFonts w:asciiTheme="minorHAnsi" w:hAnsiTheme="minorHAnsi" w:cstheme="minorHAnsi"/>
          <w:sz w:val="22"/>
          <w:szCs w:val="22"/>
        </w:rPr>
        <w:t xml:space="preserve">. Importantly </w:t>
      </w:r>
      <w:r w:rsidR="004A12DD">
        <w:rPr>
          <w:rFonts w:asciiTheme="minorHAnsi" w:hAnsiTheme="minorHAnsi" w:cstheme="minorHAnsi"/>
          <w:sz w:val="22"/>
          <w:szCs w:val="22"/>
        </w:rPr>
        <w:t xml:space="preserve">however, </w:t>
      </w:r>
      <w:r w:rsidR="006A1B7C" w:rsidRPr="00E714FD">
        <w:rPr>
          <w:rFonts w:asciiTheme="minorHAnsi" w:hAnsiTheme="minorHAnsi" w:cstheme="minorHAnsi"/>
          <w:sz w:val="22"/>
          <w:szCs w:val="22"/>
        </w:rPr>
        <w:t xml:space="preserve">he </w:t>
      </w:r>
      <w:r w:rsidRPr="00E714FD">
        <w:rPr>
          <w:rFonts w:asciiTheme="minorHAnsi" w:hAnsiTheme="minorHAnsi" w:cstheme="minorHAnsi"/>
          <w:sz w:val="22"/>
          <w:szCs w:val="22"/>
        </w:rPr>
        <w:t>also concluded that</w:t>
      </w:r>
      <w:r w:rsidR="009D6BB3" w:rsidRPr="00E714FD">
        <w:rPr>
          <w:rFonts w:asciiTheme="minorHAnsi" w:hAnsiTheme="minorHAnsi" w:cstheme="minorHAnsi"/>
          <w:sz w:val="22"/>
          <w:szCs w:val="22"/>
        </w:rPr>
        <w:t xml:space="preserve"> </w:t>
      </w:r>
      <w:r w:rsidRPr="00E714FD">
        <w:rPr>
          <w:rFonts w:asciiTheme="minorHAnsi" w:hAnsiTheme="minorHAnsi" w:cstheme="minorHAnsi"/>
          <w:sz w:val="22"/>
          <w:szCs w:val="22"/>
        </w:rPr>
        <w:t xml:space="preserve">planning judgement could equally have applied </w:t>
      </w:r>
      <w:r w:rsidR="004A12DD">
        <w:rPr>
          <w:rFonts w:asciiTheme="minorHAnsi" w:hAnsiTheme="minorHAnsi" w:cstheme="minorHAnsi"/>
          <w:sz w:val="22"/>
          <w:szCs w:val="22"/>
        </w:rPr>
        <w:t xml:space="preserve">successfully </w:t>
      </w:r>
      <w:r w:rsidRPr="00E714FD">
        <w:rPr>
          <w:rFonts w:asciiTheme="minorHAnsi" w:hAnsiTheme="minorHAnsi" w:cstheme="minorHAnsi"/>
          <w:sz w:val="22"/>
          <w:szCs w:val="22"/>
        </w:rPr>
        <w:t>to argue the opposite</w:t>
      </w:r>
      <w:r w:rsidR="004A12DD">
        <w:rPr>
          <w:rFonts w:asciiTheme="minorHAnsi" w:hAnsiTheme="minorHAnsi" w:cstheme="minorHAnsi"/>
          <w:sz w:val="22"/>
          <w:szCs w:val="22"/>
        </w:rPr>
        <w:t>, i.e. that exceptional circumstances would not apply</w:t>
      </w:r>
      <w:r w:rsidRPr="00E714FD">
        <w:rPr>
          <w:rFonts w:asciiTheme="minorHAnsi" w:hAnsiTheme="minorHAnsi" w:cstheme="minorHAnsi"/>
          <w:sz w:val="22"/>
          <w:szCs w:val="22"/>
        </w:rPr>
        <w:t xml:space="preserve">. </w:t>
      </w:r>
    </w:p>
    <w:p w:rsidR="00E714FD" w:rsidRDefault="00E714FD"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591448"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I</w:t>
      </w:r>
      <w:r w:rsidR="009D6BB3" w:rsidRPr="00E714FD">
        <w:rPr>
          <w:rFonts w:asciiTheme="minorHAnsi" w:hAnsiTheme="minorHAnsi" w:cstheme="minorHAnsi"/>
          <w:sz w:val="22"/>
          <w:szCs w:val="22"/>
        </w:rPr>
        <w:t xml:space="preserve">t is neither mandatory, nor necessarily preferable, that </w:t>
      </w:r>
      <w:r w:rsidRPr="00E714FD">
        <w:rPr>
          <w:rFonts w:asciiTheme="minorHAnsi" w:hAnsiTheme="minorHAnsi" w:cstheme="minorHAnsi"/>
          <w:sz w:val="22"/>
          <w:szCs w:val="22"/>
        </w:rPr>
        <w:t>a successful argument be made that ‘exceptional circumstances’</w:t>
      </w:r>
      <w:r w:rsidR="00D078FB" w:rsidRPr="00E714FD">
        <w:rPr>
          <w:rFonts w:asciiTheme="minorHAnsi" w:hAnsiTheme="minorHAnsi" w:cstheme="minorHAnsi"/>
          <w:sz w:val="22"/>
          <w:szCs w:val="22"/>
        </w:rPr>
        <w:t xml:space="preserve"> exist</w:t>
      </w:r>
      <w:r w:rsidR="009D6BB3" w:rsidRPr="00E714FD">
        <w:rPr>
          <w:rFonts w:asciiTheme="minorHAnsi" w:hAnsiTheme="minorHAnsi" w:cstheme="minorHAnsi"/>
          <w:sz w:val="22"/>
          <w:szCs w:val="22"/>
        </w:rPr>
        <w:t xml:space="preserve">. There is a choice to be made by the Council’s planning department, and any decision to choose to build on protected Greenbelt should </w:t>
      </w:r>
      <w:r w:rsidR="004E6D61" w:rsidRPr="00E714FD">
        <w:rPr>
          <w:rFonts w:asciiTheme="minorHAnsi" w:hAnsiTheme="minorHAnsi" w:cstheme="minorHAnsi"/>
          <w:sz w:val="22"/>
          <w:szCs w:val="22"/>
        </w:rPr>
        <w:t>be based on all available information</w:t>
      </w:r>
      <w:r w:rsidR="006A1B7C" w:rsidRPr="00E714FD">
        <w:rPr>
          <w:rFonts w:asciiTheme="minorHAnsi" w:hAnsiTheme="minorHAnsi" w:cstheme="minorHAnsi"/>
          <w:sz w:val="22"/>
          <w:szCs w:val="22"/>
        </w:rPr>
        <w:t>,</w:t>
      </w:r>
      <w:r w:rsidRPr="00E714FD">
        <w:rPr>
          <w:rFonts w:asciiTheme="minorHAnsi" w:hAnsiTheme="minorHAnsi" w:cstheme="minorHAnsi"/>
          <w:sz w:val="22"/>
          <w:szCs w:val="22"/>
        </w:rPr>
        <w:t xml:space="preserve"> as the gravity of the planning decision warrants</w:t>
      </w:r>
      <w:r w:rsidR="004E6D61" w:rsidRPr="00E714FD">
        <w:rPr>
          <w:rFonts w:asciiTheme="minorHAnsi" w:hAnsiTheme="minorHAnsi" w:cstheme="minorHAnsi"/>
          <w:sz w:val="22"/>
          <w:szCs w:val="22"/>
        </w:rPr>
        <w:t xml:space="preserve">. It should also </w:t>
      </w:r>
      <w:r w:rsidR="009D6BB3" w:rsidRPr="00E714FD">
        <w:rPr>
          <w:rFonts w:asciiTheme="minorHAnsi" w:hAnsiTheme="minorHAnsi" w:cstheme="minorHAnsi"/>
          <w:sz w:val="22"/>
          <w:szCs w:val="22"/>
        </w:rPr>
        <w:t xml:space="preserve">have </w:t>
      </w:r>
      <w:r w:rsidR="004E6D61" w:rsidRPr="00E714FD">
        <w:rPr>
          <w:rFonts w:asciiTheme="minorHAnsi" w:hAnsiTheme="minorHAnsi" w:cstheme="minorHAnsi"/>
          <w:sz w:val="22"/>
          <w:szCs w:val="22"/>
        </w:rPr>
        <w:t>strong</w:t>
      </w:r>
      <w:r w:rsidR="009D6BB3" w:rsidRPr="00E714FD">
        <w:rPr>
          <w:rFonts w:asciiTheme="minorHAnsi" w:hAnsiTheme="minorHAnsi" w:cstheme="minorHAnsi"/>
          <w:sz w:val="22"/>
          <w:szCs w:val="22"/>
        </w:rPr>
        <w:t xml:space="preserve"> backing from the community and the Council before it should be countenanced. </w:t>
      </w:r>
    </w:p>
    <w:p w:rsidR="006B6A0E" w:rsidRPr="00E714FD" w:rsidRDefault="006B6A0E" w:rsidP="0092542E">
      <w:pPr>
        <w:pStyle w:val="NormalWeb"/>
        <w:shd w:val="clear" w:color="auto" w:fill="FFFFFF"/>
        <w:spacing w:before="0" w:beforeAutospacing="0" w:after="0" w:afterAutospacing="0"/>
        <w:rPr>
          <w:rFonts w:asciiTheme="minorHAnsi" w:hAnsiTheme="minorHAnsi" w:cstheme="minorHAnsi"/>
          <w:sz w:val="22"/>
          <w:szCs w:val="22"/>
        </w:rPr>
      </w:pPr>
    </w:p>
    <w:p w:rsidR="006B6A0E" w:rsidRPr="00E714FD" w:rsidRDefault="004E6D61"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So what information is there that supports exceptional circumstances?</w:t>
      </w:r>
    </w:p>
    <w:p w:rsidR="004E6D61" w:rsidRPr="00E714FD" w:rsidRDefault="004E6D61" w:rsidP="0092542E">
      <w:pPr>
        <w:pStyle w:val="NormalWeb"/>
        <w:shd w:val="clear" w:color="auto" w:fill="FFFFFF"/>
        <w:spacing w:before="0" w:beforeAutospacing="0" w:after="0" w:afterAutospacing="0"/>
        <w:rPr>
          <w:rFonts w:asciiTheme="minorHAnsi" w:hAnsiTheme="minorHAnsi" w:cstheme="minorHAnsi"/>
          <w:sz w:val="22"/>
          <w:szCs w:val="22"/>
        </w:rPr>
      </w:pPr>
    </w:p>
    <w:p w:rsidR="006B6A0E" w:rsidRPr="00E714FD" w:rsidRDefault="006B6A0E" w:rsidP="006A1B7C">
      <w:pPr>
        <w:pStyle w:val="NormalWeb"/>
        <w:numPr>
          <w:ilvl w:val="0"/>
          <w:numId w:val="15"/>
        </w:numPr>
        <w:shd w:val="clear" w:color="auto" w:fill="FFFFFF"/>
        <w:spacing w:before="0" w:beforeAutospacing="0" w:after="0" w:afterAutospacing="0"/>
        <w:rPr>
          <w:rFonts w:asciiTheme="minorHAnsi" w:hAnsiTheme="minorHAnsi" w:cstheme="minorHAnsi"/>
          <w:sz w:val="22"/>
          <w:szCs w:val="22"/>
          <w:u w:val="single"/>
        </w:rPr>
      </w:pPr>
      <w:r w:rsidRPr="00E714FD">
        <w:rPr>
          <w:rFonts w:asciiTheme="minorHAnsi" w:hAnsiTheme="minorHAnsi" w:cstheme="minorHAnsi"/>
          <w:sz w:val="22"/>
          <w:szCs w:val="22"/>
          <w:u w:val="single"/>
        </w:rPr>
        <w:t>Exhausting other possibilities</w:t>
      </w:r>
    </w:p>
    <w:p w:rsidR="006B6A0E" w:rsidRPr="00E714FD" w:rsidRDefault="006B6A0E"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In the </w:t>
      </w:r>
      <w:r w:rsidRPr="00E714FD">
        <w:rPr>
          <w:rFonts w:asciiTheme="minorHAnsi" w:hAnsiTheme="minorHAnsi" w:cstheme="minorHAnsi"/>
          <w:sz w:val="22"/>
          <w:szCs w:val="22"/>
        </w:rPr>
        <w:t>Compton PC v Guildford BC</w:t>
      </w:r>
      <w:r w:rsidRPr="00E714FD">
        <w:rPr>
          <w:rFonts w:asciiTheme="minorHAnsi" w:hAnsiTheme="minorHAnsi" w:cstheme="minorHAnsi"/>
          <w:sz w:val="22"/>
          <w:szCs w:val="22"/>
        </w:rPr>
        <w:t xml:space="preserve"> case, both the planning inspector and the judge had concluded that all other possibilities to meet housing need had been exhausted and it was not possible to meet a reasonable housing target without resorting to the use of Greenbelt. This is not the case for the EEBC </w:t>
      </w:r>
      <w:r w:rsidR="00694A45" w:rsidRPr="00E714FD">
        <w:rPr>
          <w:rFonts w:asciiTheme="minorHAnsi" w:hAnsiTheme="minorHAnsi" w:cstheme="minorHAnsi"/>
          <w:sz w:val="22"/>
          <w:szCs w:val="22"/>
        </w:rPr>
        <w:t xml:space="preserve">local plan, as set out </w:t>
      </w:r>
      <w:r w:rsidR="006A1B7C" w:rsidRPr="00E714FD">
        <w:rPr>
          <w:rFonts w:asciiTheme="minorHAnsi" w:hAnsiTheme="minorHAnsi" w:cstheme="minorHAnsi"/>
          <w:sz w:val="22"/>
          <w:szCs w:val="22"/>
        </w:rPr>
        <w:t xml:space="preserve">in para 5 </w:t>
      </w:r>
      <w:r w:rsidR="00D078FB" w:rsidRPr="00E714FD">
        <w:rPr>
          <w:rFonts w:asciiTheme="minorHAnsi" w:hAnsiTheme="minorHAnsi" w:cstheme="minorHAnsi"/>
          <w:sz w:val="22"/>
          <w:szCs w:val="22"/>
        </w:rPr>
        <w:t>below</w:t>
      </w:r>
      <w:r w:rsidR="00694A45" w:rsidRPr="00E714FD">
        <w:rPr>
          <w:rFonts w:asciiTheme="minorHAnsi" w:hAnsiTheme="minorHAnsi" w:cstheme="minorHAnsi"/>
          <w:sz w:val="22"/>
          <w:szCs w:val="22"/>
        </w:rPr>
        <w:t xml:space="preserve">. </w:t>
      </w:r>
    </w:p>
    <w:p w:rsidR="006B6A0E" w:rsidRPr="00E714FD" w:rsidRDefault="006B6A0E" w:rsidP="0092542E">
      <w:pPr>
        <w:pStyle w:val="NormalWeb"/>
        <w:shd w:val="clear" w:color="auto" w:fill="FFFFFF"/>
        <w:spacing w:before="0" w:beforeAutospacing="0" w:after="0" w:afterAutospacing="0"/>
        <w:rPr>
          <w:rFonts w:asciiTheme="minorHAnsi" w:hAnsiTheme="minorHAnsi" w:cstheme="minorHAnsi"/>
          <w:sz w:val="22"/>
          <w:szCs w:val="22"/>
        </w:rPr>
      </w:pPr>
    </w:p>
    <w:p w:rsidR="00694A45" w:rsidRPr="00E714FD" w:rsidRDefault="00694A45" w:rsidP="006A1B7C">
      <w:pPr>
        <w:pStyle w:val="NormalWeb"/>
        <w:numPr>
          <w:ilvl w:val="0"/>
          <w:numId w:val="15"/>
        </w:numPr>
        <w:shd w:val="clear" w:color="auto" w:fill="FFFFFF"/>
        <w:spacing w:before="0" w:beforeAutospacing="0" w:after="0" w:afterAutospacing="0"/>
        <w:rPr>
          <w:rFonts w:asciiTheme="minorHAnsi" w:hAnsiTheme="minorHAnsi" w:cstheme="minorHAnsi"/>
          <w:sz w:val="22"/>
          <w:szCs w:val="22"/>
          <w:u w:val="single"/>
        </w:rPr>
      </w:pPr>
      <w:r w:rsidRPr="00E714FD">
        <w:rPr>
          <w:rFonts w:asciiTheme="minorHAnsi" w:hAnsiTheme="minorHAnsi" w:cstheme="minorHAnsi"/>
          <w:sz w:val="22"/>
          <w:szCs w:val="22"/>
          <w:u w:val="single"/>
        </w:rPr>
        <w:lastRenderedPageBreak/>
        <w:t>Impact on openness</w:t>
      </w:r>
    </w:p>
    <w:p w:rsidR="004A12DD" w:rsidRDefault="00694A45"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In the case of </w:t>
      </w:r>
      <w:r w:rsidRPr="00E714FD">
        <w:rPr>
          <w:rFonts w:asciiTheme="minorHAnsi" w:hAnsiTheme="minorHAnsi" w:cstheme="minorHAnsi"/>
          <w:sz w:val="22"/>
          <w:szCs w:val="22"/>
        </w:rPr>
        <w:t>Compton PC v Guildford BC</w:t>
      </w:r>
      <w:r w:rsidRPr="00E714FD">
        <w:rPr>
          <w:rFonts w:asciiTheme="minorHAnsi" w:hAnsiTheme="minorHAnsi" w:cstheme="minorHAnsi"/>
          <w:sz w:val="22"/>
          <w:szCs w:val="22"/>
        </w:rPr>
        <w:t>, the planning inspector stated that ‘t</w:t>
      </w:r>
      <w:r w:rsidRPr="00E714FD">
        <w:rPr>
          <w:rFonts w:asciiTheme="minorHAnsi" w:hAnsiTheme="minorHAnsi" w:cstheme="minorHAnsi"/>
          <w:sz w:val="22"/>
          <w:szCs w:val="22"/>
        </w:rPr>
        <w:t>he alterations to the Green Belt boundary would have relatively limited impacts on openness</w:t>
      </w:r>
      <w:r w:rsidRPr="00E714FD">
        <w:rPr>
          <w:rFonts w:asciiTheme="minorHAnsi" w:hAnsiTheme="minorHAnsi" w:cstheme="minorHAnsi"/>
          <w:sz w:val="22"/>
          <w:szCs w:val="22"/>
        </w:rPr>
        <w:t xml:space="preserve">’. </w:t>
      </w:r>
    </w:p>
    <w:p w:rsidR="004A12DD" w:rsidRDefault="004A12DD"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694A45"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This does not apply in Epsom &amp; Ewell as the sites selected would have significant impacts on the openness of the areas and would clearly contribute to urban sprawl. </w:t>
      </w:r>
      <w:r w:rsidR="004E6D61" w:rsidRPr="00E714FD">
        <w:rPr>
          <w:rFonts w:asciiTheme="minorHAnsi" w:hAnsiTheme="minorHAnsi" w:cstheme="minorHAnsi"/>
          <w:sz w:val="22"/>
          <w:szCs w:val="22"/>
        </w:rPr>
        <w:t xml:space="preserve">The </w:t>
      </w:r>
      <w:r w:rsidR="004A12DD">
        <w:rPr>
          <w:rFonts w:asciiTheme="minorHAnsi" w:hAnsiTheme="minorHAnsi" w:cstheme="minorHAnsi"/>
          <w:sz w:val="22"/>
          <w:szCs w:val="22"/>
        </w:rPr>
        <w:t xml:space="preserve">Epsom &amp; Ewell </w:t>
      </w:r>
      <w:r w:rsidR="004E6D61" w:rsidRPr="00E714FD">
        <w:rPr>
          <w:rFonts w:asciiTheme="minorHAnsi" w:hAnsiTheme="minorHAnsi" w:cstheme="minorHAnsi"/>
          <w:sz w:val="22"/>
          <w:szCs w:val="22"/>
        </w:rPr>
        <w:t>sites perform well under the 2017 Greenbelt study.</w:t>
      </w:r>
    </w:p>
    <w:p w:rsidR="00694A45" w:rsidRPr="00E714FD" w:rsidRDefault="00694A45" w:rsidP="0092542E">
      <w:pPr>
        <w:pStyle w:val="NormalWeb"/>
        <w:shd w:val="clear" w:color="auto" w:fill="FFFFFF"/>
        <w:spacing w:before="0" w:beforeAutospacing="0" w:after="0" w:afterAutospacing="0"/>
        <w:rPr>
          <w:rFonts w:asciiTheme="minorHAnsi" w:hAnsiTheme="minorHAnsi" w:cstheme="minorHAnsi"/>
          <w:sz w:val="22"/>
          <w:szCs w:val="22"/>
        </w:rPr>
      </w:pPr>
    </w:p>
    <w:p w:rsidR="00694A45" w:rsidRPr="00E714FD" w:rsidRDefault="00694A45" w:rsidP="00E714FD">
      <w:pPr>
        <w:pStyle w:val="NormalWeb"/>
        <w:numPr>
          <w:ilvl w:val="0"/>
          <w:numId w:val="15"/>
        </w:numPr>
        <w:shd w:val="clear" w:color="auto" w:fill="FFFFFF"/>
        <w:spacing w:before="0" w:beforeAutospacing="0" w:after="0" w:afterAutospacing="0"/>
        <w:rPr>
          <w:rFonts w:asciiTheme="minorHAnsi" w:hAnsiTheme="minorHAnsi" w:cstheme="minorHAnsi"/>
          <w:sz w:val="22"/>
          <w:szCs w:val="22"/>
          <w:u w:val="single"/>
        </w:rPr>
      </w:pPr>
      <w:r w:rsidRPr="00E714FD">
        <w:rPr>
          <w:rFonts w:asciiTheme="minorHAnsi" w:hAnsiTheme="minorHAnsi" w:cstheme="minorHAnsi"/>
          <w:sz w:val="22"/>
          <w:szCs w:val="22"/>
          <w:u w:val="single"/>
        </w:rPr>
        <w:t>Sustainable locations</w:t>
      </w:r>
    </w:p>
    <w:p w:rsidR="00F93052" w:rsidRPr="00E714FD" w:rsidRDefault="00F93052"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In the case of Guildford BC</w:t>
      </w:r>
      <w:r w:rsidR="00E714FD">
        <w:rPr>
          <w:rFonts w:asciiTheme="minorHAnsi" w:hAnsiTheme="minorHAnsi" w:cstheme="minorHAnsi"/>
          <w:sz w:val="22"/>
          <w:szCs w:val="22"/>
        </w:rPr>
        <w:t>:</w:t>
      </w:r>
      <w:r w:rsidRPr="00E714FD">
        <w:rPr>
          <w:rFonts w:asciiTheme="minorHAnsi" w:hAnsiTheme="minorHAnsi" w:cstheme="minorHAnsi"/>
          <w:sz w:val="22"/>
          <w:szCs w:val="22"/>
        </w:rPr>
        <w:t xml:space="preserve"> </w:t>
      </w:r>
    </w:p>
    <w:p w:rsidR="00694A45" w:rsidRPr="00E714FD" w:rsidRDefault="00F93052" w:rsidP="0092542E">
      <w:pPr>
        <w:pStyle w:val="NormalWeb"/>
        <w:shd w:val="clear" w:color="auto" w:fill="FFFFFF"/>
        <w:spacing w:before="0" w:beforeAutospacing="0" w:after="0" w:afterAutospacing="0"/>
        <w:rPr>
          <w:rFonts w:asciiTheme="minorHAnsi" w:hAnsiTheme="minorHAnsi" w:cstheme="minorHAnsi"/>
          <w:i/>
          <w:iCs/>
          <w:sz w:val="22"/>
          <w:szCs w:val="22"/>
        </w:rPr>
      </w:pPr>
      <w:r w:rsidRPr="00E714FD">
        <w:rPr>
          <w:rFonts w:asciiTheme="minorHAnsi" w:hAnsiTheme="minorHAnsi" w:cstheme="minorHAnsi"/>
          <w:i/>
          <w:iCs/>
          <w:sz w:val="22"/>
          <w:szCs w:val="22"/>
        </w:rPr>
        <w:t>‘</w:t>
      </w:r>
      <w:r w:rsidRPr="00E714FD">
        <w:rPr>
          <w:rFonts w:asciiTheme="minorHAnsi" w:hAnsiTheme="minorHAnsi" w:cstheme="minorHAnsi"/>
          <w:i/>
          <w:iCs/>
          <w:sz w:val="22"/>
          <w:szCs w:val="22"/>
        </w:rPr>
        <w:t>it allocates the largest amounts of development to the most sustainable locations, or those which can be made sustainable; secondly, it achieves a satisfactory spatial balance in a variety of locations and types of site; and thirdly, the strategic sites will accommodate a significant amount of the Borough’s housing and employment needs whilst at the same time meeting their own social needs and contributing towards transport improvements that have wider benefits</w:t>
      </w:r>
      <w:r w:rsidRPr="00E714FD">
        <w:rPr>
          <w:rFonts w:asciiTheme="minorHAnsi" w:hAnsiTheme="minorHAnsi" w:cstheme="minorHAnsi"/>
          <w:i/>
          <w:iCs/>
          <w:sz w:val="22"/>
          <w:szCs w:val="22"/>
        </w:rPr>
        <w:t>.’</w:t>
      </w:r>
    </w:p>
    <w:p w:rsidR="00E714FD" w:rsidRDefault="00E714FD" w:rsidP="0092542E">
      <w:pPr>
        <w:pStyle w:val="NormalWeb"/>
        <w:shd w:val="clear" w:color="auto" w:fill="FFFFFF"/>
        <w:spacing w:before="0" w:beforeAutospacing="0" w:after="0" w:afterAutospacing="0"/>
        <w:rPr>
          <w:rFonts w:asciiTheme="minorHAnsi" w:hAnsiTheme="minorHAnsi" w:cstheme="minorHAnsi"/>
          <w:sz w:val="22"/>
          <w:szCs w:val="22"/>
        </w:rPr>
      </w:pPr>
    </w:p>
    <w:p w:rsidR="00F93052" w:rsidRPr="00E714FD" w:rsidRDefault="00F93052"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None of these features apply to Epsom &amp; Ewell’s local plan allocations to Greenbelt sites.</w:t>
      </w:r>
      <w:r w:rsidR="004E6D61" w:rsidRPr="00E714FD">
        <w:rPr>
          <w:rFonts w:asciiTheme="minorHAnsi" w:hAnsiTheme="minorHAnsi" w:cstheme="minorHAnsi"/>
          <w:sz w:val="22"/>
          <w:szCs w:val="22"/>
        </w:rPr>
        <w:t xml:space="preserve"> The Transport Assessment accompanying the Local Plan shows that the Greenbelt sites are not sustainable and there will be a significantly detrimental transport impact. The proposed sites are </w:t>
      </w:r>
      <w:r w:rsidR="008D5EF7" w:rsidRPr="00E714FD">
        <w:rPr>
          <w:rFonts w:asciiTheme="minorHAnsi" w:hAnsiTheme="minorHAnsi" w:cstheme="minorHAnsi"/>
          <w:sz w:val="22"/>
          <w:szCs w:val="22"/>
        </w:rPr>
        <w:t xml:space="preserve">located in relatively restricted areas and to not achieve spatial balance between a variety of locations and types of site. </w:t>
      </w:r>
    </w:p>
    <w:p w:rsidR="00694A45" w:rsidRPr="00E714FD" w:rsidRDefault="00694A45" w:rsidP="0092542E">
      <w:pPr>
        <w:pStyle w:val="NormalWeb"/>
        <w:shd w:val="clear" w:color="auto" w:fill="FFFFFF"/>
        <w:spacing w:before="0" w:beforeAutospacing="0" w:after="0" w:afterAutospacing="0"/>
        <w:rPr>
          <w:rFonts w:asciiTheme="minorHAnsi" w:hAnsiTheme="minorHAnsi" w:cstheme="minorHAnsi"/>
          <w:sz w:val="22"/>
          <w:szCs w:val="22"/>
        </w:rPr>
      </w:pPr>
    </w:p>
    <w:p w:rsidR="0037587D" w:rsidRPr="00E714FD" w:rsidRDefault="0037587D" w:rsidP="0092542E">
      <w:pPr>
        <w:pStyle w:val="NormalWeb"/>
        <w:shd w:val="clear" w:color="auto" w:fill="FFFFFF"/>
        <w:spacing w:before="0" w:beforeAutospacing="0" w:after="0" w:afterAutospacing="0"/>
        <w:rPr>
          <w:rFonts w:asciiTheme="minorHAnsi" w:hAnsiTheme="minorHAnsi" w:cstheme="minorHAnsi"/>
          <w:sz w:val="22"/>
          <w:szCs w:val="22"/>
        </w:rPr>
      </w:pPr>
    </w:p>
    <w:p w:rsidR="0037587D" w:rsidRPr="00E714FD" w:rsidRDefault="00591448"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There is nothing in the judgement</w:t>
      </w:r>
      <w:r w:rsidR="00E714FD">
        <w:rPr>
          <w:rFonts w:asciiTheme="minorHAnsi" w:hAnsiTheme="minorHAnsi" w:cstheme="minorHAnsi"/>
          <w:sz w:val="22"/>
          <w:szCs w:val="22"/>
        </w:rPr>
        <w:t xml:space="preserve"> on the Case</w:t>
      </w:r>
      <w:r w:rsidRPr="00E714FD">
        <w:rPr>
          <w:rFonts w:asciiTheme="minorHAnsi" w:hAnsiTheme="minorHAnsi" w:cstheme="minorHAnsi"/>
          <w:sz w:val="22"/>
          <w:szCs w:val="22"/>
        </w:rPr>
        <w:t xml:space="preserve"> that suggests either that:</w:t>
      </w:r>
    </w:p>
    <w:p w:rsidR="00591448" w:rsidRPr="00E714FD" w:rsidRDefault="00591448" w:rsidP="00AE34A6">
      <w:pPr>
        <w:pStyle w:val="NormalWeb"/>
        <w:numPr>
          <w:ilvl w:val="0"/>
          <w:numId w:val="12"/>
        </w:numPr>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Had the sites not been in</w:t>
      </w:r>
      <w:r w:rsidR="00E714FD">
        <w:rPr>
          <w:rFonts w:asciiTheme="minorHAnsi" w:hAnsiTheme="minorHAnsi" w:cstheme="minorHAnsi"/>
          <w:sz w:val="22"/>
          <w:szCs w:val="22"/>
        </w:rPr>
        <w:t>c</w:t>
      </w:r>
      <w:r w:rsidRPr="00E714FD">
        <w:rPr>
          <w:rFonts w:asciiTheme="minorHAnsi" w:hAnsiTheme="minorHAnsi" w:cstheme="minorHAnsi"/>
          <w:sz w:val="22"/>
          <w:szCs w:val="22"/>
        </w:rPr>
        <w:t>luded in the Guildford plan, the Planning Inspector would have mandated their insertion, or</w:t>
      </w:r>
    </w:p>
    <w:p w:rsidR="00AE34A6" w:rsidRPr="00E714FD" w:rsidRDefault="00AE34A6" w:rsidP="00AE34A6">
      <w:pPr>
        <w:pStyle w:val="NormalWeb"/>
        <w:numPr>
          <w:ilvl w:val="0"/>
          <w:numId w:val="12"/>
        </w:numPr>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Had the planning inspector decided that there were not exceptional circumstances in this case, the judge would have disagreed with this planning judgement.</w:t>
      </w:r>
    </w:p>
    <w:p w:rsidR="0037587D" w:rsidRPr="00E714FD" w:rsidRDefault="0037587D" w:rsidP="0092542E">
      <w:pPr>
        <w:pStyle w:val="NormalWeb"/>
        <w:shd w:val="clear" w:color="auto" w:fill="FFFFFF"/>
        <w:spacing w:before="0" w:beforeAutospacing="0" w:after="0" w:afterAutospacing="0"/>
        <w:rPr>
          <w:rFonts w:asciiTheme="minorHAnsi" w:hAnsiTheme="minorHAnsi" w:cstheme="minorHAnsi"/>
          <w:sz w:val="22"/>
          <w:szCs w:val="22"/>
        </w:rPr>
      </w:pPr>
    </w:p>
    <w:p w:rsidR="00694A45" w:rsidRPr="00E714FD" w:rsidRDefault="003A5DC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The judgement in th</w:t>
      </w:r>
      <w:r w:rsidR="00AE34A6" w:rsidRPr="00E714FD">
        <w:rPr>
          <w:rFonts w:asciiTheme="minorHAnsi" w:hAnsiTheme="minorHAnsi" w:cstheme="minorHAnsi"/>
          <w:sz w:val="22"/>
          <w:szCs w:val="22"/>
        </w:rPr>
        <w:t>e Guildford</w:t>
      </w:r>
      <w:r w:rsidRPr="00E714FD">
        <w:rPr>
          <w:rFonts w:asciiTheme="minorHAnsi" w:hAnsiTheme="minorHAnsi" w:cstheme="minorHAnsi"/>
          <w:sz w:val="22"/>
          <w:szCs w:val="22"/>
        </w:rPr>
        <w:t xml:space="preserve"> case also illustrated the importance of having clear, well-drafted local policies that provide a defence to Greenbelt development. In Guildford’s case, the previous Greenbelt policy had been used successfully to prevent development of Greenbelt land, whereas an updated policy was not effective in achieving this objective. </w:t>
      </w:r>
    </w:p>
    <w:p w:rsidR="003A5DC3" w:rsidRPr="00E714FD" w:rsidRDefault="003A5DC3" w:rsidP="0092542E">
      <w:pPr>
        <w:pStyle w:val="NormalWeb"/>
        <w:shd w:val="clear" w:color="auto" w:fill="FFFFFF"/>
        <w:spacing w:before="0" w:beforeAutospacing="0" w:after="0" w:afterAutospacing="0"/>
        <w:rPr>
          <w:rFonts w:asciiTheme="minorHAnsi" w:hAnsiTheme="minorHAnsi" w:cstheme="minorHAnsi"/>
          <w:sz w:val="22"/>
          <w:szCs w:val="22"/>
        </w:rPr>
      </w:pPr>
    </w:p>
    <w:p w:rsidR="00AE34A6" w:rsidRPr="00E714FD" w:rsidRDefault="00AE34A6" w:rsidP="0092542E">
      <w:pPr>
        <w:pStyle w:val="NormalWeb"/>
        <w:shd w:val="clear" w:color="auto" w:fill="FFFFFF"/>
        <w:spacing w:before="0" w:beforeAutospacing="0" w:after="0" w:afterAutospacing="0"/>
        <w:rPr>
          <w:rFonts w:asciiTheme="minorHAnsi" w:hAnsiTheme="minorHAnsi" w:cstheme="minorHAnsi"/>
          <w:b/>
          <w:bCs/>
          <w:sz w:val="22"/>
          <w:szCs w:val="22"/>
        </w:rPr>
      </w:pPr>
      <w:r w:rsidRPr="00E714FD">
        <w:rPr>
          <w:rFonts w:asciiTheme="minorHAnsi" w:hAnsiTheme="minorHAnsi" w:cstheme="minorHAnsi"/>
          <w:b/>
          <w:bCs/>
          <w:sz w:val="22"/>
          <w:szCs w:val="22"/>
        </w:rPr>
        <w:t>The conclusions from Compton PC v Guildford BC are that</w:t>
      </w:r>
      <w:r w:rsidR="00D078FB" w:rsidRPr="00E714FD">
        <w:rPr>
          <w:rFonts w:asciiTheme="minorHAnsi" w:hAnsiTheme="minorHAnsi" w:cstheme="minorHAnsi"/>
          <w:b/>
          <w:bCs/>
          <w:sz w:val="22"/>
          <w:szCs w:val="22"/>
        </w:rPr>
        <w:t>:</w:t>
      </w:r>
    </w:p>
    <w:p w:rsidR="00AE34A6" w:rsidRPr="00E714FD" w:rsidRDefault="00AE34A6" w:rsidP="00AE34A6">
      <w:pPr>
        <w:pStyle w:val="NormalWeb"/>
        <w:numPr>
          <w:ilvl w:val="0"/>
          <w:numId w:val="13"/>
        </w:numPr>
        <w:shd w:val="clear" w:color="auto" w:fill="FFFFFF"/>
        <w:spacing w:before="0" w:beforeAutospacing="0" w:after="0" w:afterAutospacing="0"/>
        <w:rPr>
          <w:rFonts w:asciiTheme="minorHAnsi" w:hAnsiTheme="minorHAnsi" w:cstheme="minorHAnsi"/>
          <w:b/>
          <w:bCs/>
          <w:sz w:val="22"/>
          <w:szCs w:val="22"/>
        </w:rPr>
      </w:pPr>
      <w:r w:rsidRPr="00E714FD">
        <w:rPr>
          <w:rFonts w:asciiTheme="minorHAnsi" w:hAnsiTheme="minorHAnsi" w:cstheme="minorHAnsi"/>
          <w:b/>
          <w:bCs/>
          <w:sz w:val="22"/>
          <w:szCs w:val="22"/>
        </w:rPr>
        <w:t xml:space="preserve">The arguments </w:t>
      </w:r>
      <w:r w:rsidRPr="00E714FD">
        <w:rPr>
          <w:rFonts w:asciiTheme="minorHAnsi" w:hAnsiTheme="minorHAnsi" w:cstheme="minorHAnsi"/>
          <w:b/>
          <w:bCs/>
          <w:sz w:val="22"/>
          <w:szCs w:val="22"/>
        </w:rPr>
        <w:t>made in th</w:t>
      </w:r>
      <w:r w:rsidR="00E714FD">
        <w:rPr>
          <w:rFonts w:asciiTheme="minorHAnsi" w:hAnsiTheme="minorHAnsi" w:cstheme="minorHAnsi"/>
          <w:b/>
          <w:bCs/>
          <w:sz w:val="22"/>
          <w:szCs w:val="22"/>
        </w:rPr>
        <w:t>e</w:t>
      </w:r>
      <w:r w:rsidRPr="00E714FD">
        <w:rPr>
          <w:rFonts w:asciiTheme="minorHAnsi" w:hAnsiTheme="minorHAnsi" w:cstheme="minorHAnsi"/>
          <w:b/>
          <w:bCs/>
          <w:sz w:val="22"/>
          <w:szCs w:val="22"/>
        </w:rPr>
        <w:t xml:space="preserve"> </w:t>
      </w:r>
      <w:r w:rsidR="00E714FD">
        <w:rPr>
          <w:rFonts w:asciiTheme="minorHAnsi" w:hAnsiTheme="minorHAnsi" w:cstheme="minorHAnsi"/>
          <w:b/>
          <w:bCs/>
          <w:sz w:val="22"/>
          <w:szCs w:val="22"/>
        </w:rPr>
        <w:t>C</w:t>
      </w:r>
      <w:r w:rsidRPr="00E714FD">
        <w:rPr>
          <w:rFonts w:asciiTheme="minorHAnsi" w:hAnsiTheme="minorHAnsi" w:cstheme="minorHAnsi"/>
          <w:b/>
          <w:bCs/>
          <w:sz w:val="22"/>
          <w:szCs w:val="22"/>
        </w:rPr>
        <w:t>ase</w:t>
      </w:r>
      <w:r w:rsidRPr="00E714FD">
        <w:rPr>
          <w:rFonts w:asciiTheme="minorHAnsi" w:hAnsiTheme="minorHAnsi" w:cstheme="minorHAnsi"/>
          <w:b/>
          <w:bCs/>
          <w:sz w:val="22"/>
          <w:szCs w:val="22"/>
        </w:rPr>
        <w:t xml:space="preserve">, </w:t>
      </w:r>
      <w:r w:rsidR="00E714FD">
        <w:rPr>
          <w:rFonts w:asciiTheme="minorHAnsi" w:hAnsiTheme="minorHAnsi" w:cstheme="minorHAnsi"/>
          <w:b/>
          <w:bCs/>
          <w:sz w:val="22"/>
          <w:szCs w:val="22"/>
        </w:rPr>
        <w:t>that</w:t>
      </w:r>
      <w:r w:rsidRPr="00E714FD">
        <w:rPr>
          <w:rFonts w:asciiTheme="minorHAnsi" w:hAnsiTheme="minorHAnsi" w:cstheme="minorHAnsi"/>
          <w:b/>
          <w:bCs/>
          <w:sz w:val="22"/>
          <w:szCs w:val="22"/>
        </w:rPr>
        <w:t xml:space="preserve"> exceptional circumstances exist</w:t>
      </w:r>
      <w:r w:rsidR="00E714FD">
        <w:rPr>
          <w:rFonts w:asciiTheme="minorHAnsi" w:hAnsiTheme="minorHAnsi" w:cstheme="minorHAnsi"/>
          <w:b/>
          <w:bCs/>
          <w:sz w:val="22"/>
          <w:szCs w:val="22"/>
        </w:rPr>
        <w:t>ed</w:t>
      </w:r>
      <w:r w:rsidRPr="00E714FD">
        <w:rPr>
          <w:rFonts w:asciiTheme="minorHAnsi" w:hAnsiTheme="minorHAnsi" w:cstheme="minorHAnsi"/>
          <w:b/>
          <w:bCs/>
          <w:sz w:val="22"/>
          <w:szCs w:val="22"/>
        </w:rPr>
        <w:t xml:space="preserve"> for Greenbelt development, have only very limited bearing on the EEBC local plan</w:t>
      </w:r>
      <w:r w:rsidR="00E714FD">
        <w:rPr>
          <w:rFonts w:asciiTheme="minorHAnsi" w:hAnsiTheme="minorHAnsi" w:cstheme="minorHAnsi"/>
          <w:b/>
          <w:bCs/>
          <w:sz w:val="22"/>
          <w:szCs w:val="22"/>
        </w:rPr>
        <w:t xml:space="preserve"> and a similar conclusion may not be reached here;</w:t>
      </w:r>
      <w:r w:rsidRPr="00E714FD">
        <w:rPr>
          <w:rFonts w:asciiTheme="minorHAnsi" w:hAnsiTheme="minorHAnsi" w:cstheme="minorHAnsi"/>
          <w:b/>
          <w:bCs/>
          <w:sz w:val="22"/>
          <w:szCs w:val="22"/>
        </w:rPr>
        <w:t xml:space="preserve"> and </w:t>
      </w:r>
    </w:p>
    <w:p w:rsidR="003A5DC3" w:rsidRPr="00E714FD" w:rsidRDefault="00AE34A6" w:rsidP="00AE34A6">
      <w:pPr>
        <w:pStyle w:val="NormalWeb"/>
        <w:numPr>
          <w:ilvl w:val="0"/>
          <w:numId w:val="13"/>
        </w:numPr>
        <w:shd w:val="clear" w:color="auto" w:fill="FFFFFF"/>
        <w:spacing w:before="0" w:beforeAutospacing="0" w:after="0" w:afterAutospacing="0"/>
        <w:rPr>
          <w:rFonts w:asciiTheme="minorHAnsi" w:hAnsiTheme="minorHAnsi" w:cstheme="minorHAnsi"/>
          <w:b/>
          <w:bCs/>
          <w:sz w:val="22"/>
          <w:szCs w:val="22"/>
        </w:rPr>
      </w:pPr>
      <w:r w:rsidRPr="00E714FD">
        <w:rPr>
          <w:rFonts w:asciiTheme="minorHAnsi" w:hAnsiTheme="minorHAnsi" w:cstheme="minorHAnsi"/>
          <w:b/>
          <w:bCs/>
          <w:sz w:val="22"/>
          <w:szCs w:val="22"/>
        </w:rPr>
        <w:t>That the exercise of planning judgement would permit EEBC to exclude Greenbelt development from the Local Plan.</w:t>
      </w:r>
    </w:p>
    <w:p w:rsidR="00694A45" w:rsidRPr="00E714FD" w:rsidRDefault="00694A45"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bookmarkStart w:id="2" w:name="_Hlk128559421"/>
    </w:p>
    <w:p w:rsidR="005229DB" w:rsidRPr="00E714FD" w:rsidRDefault="005229DB" w:rsidP="00E714FD">
      <w:pPr>
        <w:pStyle w:val="NormalWeb"/>
        <w:numPr>
          <w:ilvl w:val="0"/>
          <w:numId w:val="15"/>
        </w:numPr>
        <w:shd w:val="clear" w:color="auto" w:fill="FFFFFF"/>
        <w:spacing w:before="0" w:beforeAutospacing="0" w:after="0" w:afterAutospacing="0"/>
        <w:rPr>
          <w:rFonts w:asciiTheme="minorHAnsi" w:hAnsiTheme="minorHAnsi" w:cstheme="minorHAnsi"/>
          <w:sz w:val="22"/>
          <w:szCs w:val="22"/>
          <w:u w:val="single"/>
        </w:rPr>
      </w:pPr>
      <w:r w:rsidRPr="00E714FD">
        <w:rPr>
          <w:rFonts w:asciiTheme="minorHAnsi" w:hAnsiTheme="minorHAnsi" w:cstheme="minorHAnsi"/>
          <w:sz w:val="22"/>
          <w:szCs w:val="22"/>
          <w:u w:val="single"/>
        </w:rPr>
        <w:t>Calculation of housing need</w:t>
      </w:r>
    </w:p>
    <w:p w:rsidR="005229DB" w:rsidRPr="00E714FD" w:rsidRDefault="005229DB" w:rsidP="005229DB">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Whilst not relevant to ‘exceptional circumstances’ it is pertinent to the wide</w:t>
      </w:r>
      <w:r w:rsidR="004A12DD">
        <w:rPr>
          <w:rFonts w:asciiTheme="minorHAnsi" w:hAnsiTheme="minorHAnsi" w:cstheme="minorHAnsi"/>
          <w:sz w:val="22"/>
          <w:szCs w:val="22"/>
        </w:rPr>
        <w:t>r</w:t>
      </w:r>
      <w:r w:rsidRPr="00E714FD">
        <w:rPr>
          <w:rFonts w:asciiTheme="minorHAnsi" w:hAnsiTheme="minorHAnsi" w:cstheme="minorHAnsi"/>
          <w:sz w:val="22"/>
          <w:szCs w:val="22"/>
        </w:rPr>
        <w:t xml:space="preserve"> ‘Housing Need’ in the Draft Local Plan that</w:t>
      </w:r>
      <w:r w:rsidRPr="00E714FD">
        <w:rPr>
          <w:rFonts w:asciiTheme="minorHAnsi" w:hAnsiTheme="minorHAnsi" w:cstheme="minorHAnsi"/>
          <w:sz w:val="22"/>
          <w:szCs w:val="22"/>
        </w:rPr>
        <w:t xml:space="preserve"> the assessment of ‘Housing Need’ </w:t>
      </w:r>
      <w:r w:rsidRPr="00E714FD">
        <w:rPr>
          <w:rFonts w:asciiTheme="minorHAnsi" w:hAnsiTheme="minorHAnsi" w:cstheme="minorHAnsi"/>
          <w:sz w:val="22"/>
          <w:szCs w:val="22"/>
        </w:rPr>
        <w:t xml:space="preserve">in the Case </w:t>
      </w:r>
      <w:r w:rsidRPr="00E714FD">
        <w:rPr>
          <w:rFonts w:asciiTheme="minorHAnsi" w:hAnsiTheme="minorHAnsi" w:cstheme="minorHAnsi"/>
          <w:sz w:val="22"/>
          <w:szCs w:val="22"/>
        </w:rPr>
        <w:t xml:space="preserve">using the Standard Method was adjusted to take into account the then latest government figures, being the 2016-based population and household projections. The use of these updated projections, which showed a lower housing need than the 2014 projections, was accepted both by the Planning Inspector and the judge in this </w:t>
      </w:r>
      <w:r w:rsidR="004A12DD">
        <w:rPr>
          <w:rFonts w:asciiTheme="minorHAnsi" w:hAnsiTheme="minorHAnsi" w:cstheme="minorHAnsi"/>
          <w:sz w:val="22"/>
          <w:szCs w:val="22"/>
        </w:rPr>
        <w:t>C</w:t>
      </w:r>
      <w:r w:rsidRPr="00E714FD">
        <w:rPr>
          <w:rFonts w:asciiTheme="minorHAnsi" w:hAnsiTheme="minorHAnsi" w:cstheme="minorHAnsi"/>
          <w:sz w:val="22"/>
          <w:szCs w:val="22"/>
        </w:rPr>
        <w:t>ase.</w:t>
      </w:r>
    </w:p>
    <w:p w:rsidR="005229DB" w:rsidRPr="00E714FD" w:rsidRDefault="005229DB" w:rsidP="005229DB">
      <w:pPr>
        <w:pStyle w:val="NormalWeb"/>
        <w:shd w:val="clear" w:color="auto" w:fill="FFFFFF"/>
        <w:spacing w:before="0" w:beforeAutospacing="0" w:after="0" w:afterAutospacing="0"/>
        <w:rPr>
          <w:rFonts w:asciiTheme="minorHAnsi" w:hAnsiTheme="minorHAnsi" w:cstheme="minorHAnsi"/>
          <w:sz w:val="22"/>
          <w:szCs w:val="22"/>
        </w:rPr>
      </w:pPr>
    </w:p>
    <w:p w:rsidR="005229DB" w:rsidRPr="00E714FD" w:rsidRDefault="005229DB" w:rsidP="005229DB">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lastRenderedPageBreak/>
        <w:t xml:space="preserve">In the case of the Epsom &amp; Ewell Draft Local Plan, the equivalent ‘most recent’ figures are currently the 2018-based population and household projections. These reduce the objectively assessed housing need from 576 dpa to 207 dpa (as set out in a separate paper on Housing Need). </w:t>
      </w:r>
    </w:p>
    <w:p w:rsidR="005229DB" w:rsidRPr="00E714FD" w:rsidRDefault="005229DB" w:rsidP="005229DB">
      <w:pPr>
        <w:pStyle w:val="NormalWeb"/>
        <w:shd w:val="clear" w:color="auto" w:fill="FFFFFF"/>
        <w:spacing w:before="0" w:beforeAutospacing="0" w:after="0" w:afterAutospacing="0"/>
        <w:rPr>
          <w:rFonts w:asciiTheme="minorHAnsi" w:hAnsiTheme="minorHAnsi" w:cstheme="minorHAnsi"/>
          <w:sz w:val="22"/>
          <w:szCs w:val="22"/>
        </w:rPr>
      </w:pPr>
    </w:p>
    <w:p w:rsidR="005229DB" w:rsidRPr="00E714FD" w:rsidRDefault="005229DB" w:rsidP="005229DB">
      <w:pPr>
        <w:pStyle w:val="NormalWeb"/>
        <w:shd w:val="clear" w:color="auto" w:fill="FFFFFF"/>
        <w:spacing w:before="0" w:beforeAutospacing="0" w:after="0" w:afterAutospacing="0"/>
        <w:rPr>
          <w:rFonts w:asciiTheme="minorHAnsi" w:hAnsiTheme="minorHAnsi" w:cstheme="minorHAnsi"/>
          <w:sz w:val="22"/>
          <w:szCs w:val="22"/>
        </w:rPr>
      </w:pP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F5240B" w:rsidP="00D078FB">
      <w:pPr>
        <w:pStyle w:val="NormalWeb"/>
        <w:numPr>
          <w:ilvl w:val="0"/>
          <w:numId w:val="14"/>
        </w:numPr>
        <w:shd w:val="clear" w:color="auto" w:fill="FFFFFF"/>
        <w:spacing w:before="0" w:beforeAutospacing="0" w:after="0" w:afterAutospacing="0"/>
        <w:rPr>
          <w:rFonts w:asciiTheme="minorHAnsi" w:hAnsiTheme="minorHAnsi" w:cstheme="minorHAnsi"/>
          <w:sz w:val="28"/>
          <w:szCs w:val="28"/>
        </w:rPr>
      </w:pPr>
      <w:r w:rsidRPr="00E714FD">
        <w:rPr>
          <w:rFonts w:asciiTheme="minorHAnsi" w:hAnsiTheme="minorHAnsi" w:cstheme="minorHAnsi"/>
          <w:sz w:val="28"/>
          <w:szCs w:val="28"/>
        </w:rPr>
        <w:t xml:space="preserve">Assessment of the </w:t>
      </w:r>
      <w:r w:rsidR="00E9060D" w:rsidRPr="00E714FD">
        <w:rPr>
          <w:rFonts w:asciiTheme="minorHAnsi" w:hAnsiTheme="minorHAnsi" w:cstheme="minorHAnsi"/>
          <w:sz w:val="28"/>
          <w:szCs w:val="28"/>
        </w:rPr>
        <w:t>compliance with the NPPF para 141 r</w:t>
      </w:r>
      <w:r w:rsidR="009D6BB3" w:rsidRPr="00E714FD">
        <w:rPr>
          <w:rFonts w:asciiTheme="minorHAnsi" w:hAnsiTheme="minorHAnsi" w:cstheme="minorHAnsi"/>
          <w:sz w:val="28"/>
          <w:szCs w:val="28"/>
        </w:rPr>
        <w:t>equirement to ‘</w:t>
      </w:r>
      <w:r w:rsidR="009D6BB3" w:rsidRPr="00E714FD">
        <w:rPr>
          <w:rFonts w:asciiTheme="minorHAnsi" w:hAnsiTheme="minorHAnsi" w:cstheme="minorHAnsi"/>
          <w:b/>
          <w:bCs/>
          <w:sz w:val="28"/>
          <w:szCs w:val="28"/>
          <w:u w:val="single"/>
        </w:rPr>
        <w:t>examine fully all other reasonable options for meeting its identified need for development’</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Default="00E5359D" w:rsidP="0092542E">
      <w:pPr>
        <w:pStyle w:val="NormalWeb"/>
        <w:shd w:val="clear" w:color="auto" w:fill="FFFFFF"/>
        <w:spacing w:before="0" w:beforeAutospacing="0" w:after="0" w:afterAutospacing="0"/>
        <w:rPr>
          <w:rFonts w:asciiTheme="minorHAnsi" w:hAnsiTheme="minorHAnsi" w:cstheme="minorHAnsi"/>
          <w:sz w:val="22"/>
          <w:szCs w:val="22"/>
        </w:rPr>
      </w:pPr>
      <w:bookmarkStart w:id="3" w:name="_Hlk128609235"/>
      <w:r w:rsidRPr="00E714FD">
        <w:rPr>
          <w:rFonts w:asciiTheme="minorHAnsi" w:hAnsiTheme="minorHAnsi" w:cstheme="minorHAnsi"/>
          <w:sz w:val="22"/>
          <w:szCs w:val="22"/>
        </w:rPr>
        <w:t xml:space="preserve">See separate paper on </w:t>
      </w:r>
      <w:r w:rsidR="004164BE">
        <w:rPr>
          <w:rFonts w:asciiTheme="minorHAnsi" w:hAnsiTheme="minorHAnsi" w:cstheme="minorHAnsi"/>
          <w:sz w:val="22"/>
          <w:szCs w:val="22"/>
        </w:rPr>
        <w:t xml:space="preserve">the shortcomings of the </w:t>
      </w:r>
      <w:r w:rsidRPr="00E714FD">
        <w:rPr>
          <w:rFonts w:asciiTheme="minorHAnsi" w:hAnsiTheme="minorHAnsi" w:cstheme="minorHAnsi"/>
          <w:sz w:val="22"/>
          <w:szCs w:val="22"/>
        </w:rPr>
        <w:t>Land Availability Assessment</w:t>
      </w:r>
      <w:r w:rsidR="004164BE">
        <w:rPr>
          <w:rFonts w:asciiTheme="minorHAnsi" w:hAnsiTheme="minorHAnsi" w:cstheme="minorHAnsi"/>
          <w:sz w:val="22"/>
          <w:szCs w:val="22"/>
        </w:rPr>
        <w:t xml:space="preserve"> accompanying the Draft Local Plan</w:t>
      </w:r>
      <w:r w:rsidRPr="00E714FD">
        <w:rPr>
          <w:rFonts w:asciiTheme="minorHAnsi" w:hAnsiTheme="minorHAnsi" w:cstheme="minorHAnsi"/>
          <w:sz w:val="22"/>
          <w:szCs w:val="22"/>
        </w:rPr>
        <w:t>.</w:t>
      </w:r>
    </w:p>
    <w:p w:rsidR="004164BE" w:rsidRDefault="004164BE" w:rsidP="0092542E">
      <w:pPr>
        <w:pStyle w:val="NormalWeb"/>
        <w:shd w:val="clear" w:color="auto" w:fill="FFFFFF"/>
        <w:spacing w:before="0" w:beforeAutospacing="0" w:after="0" w:afterAutospacing="0"/>
        <w:rPr>
          <w:rFonts w:asciiTheme="minorHAnsi" w:hAnsiTheme="minorHAnsi" w:cstheme="minorHAnsi"/>
          <w:sz w:val="22"/>
          <w:szCs w:val="22"/>
        </w:rPr>
      </w:pPr>
    </w:p>
    <w:p w:rsidR="004164BE" w:rsidRPr="00E714FD" w:rsidRDefault="004164BE" w:rsidP="0092542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The conclusion that can be drawn from that paper is that the council has not examined fully all other reasonable options for meeting its identified need for development</w:t>
      </w:r>
      <w:r w:rsidR="00B87503">
        <w:rPr>
          <w:rFonts w:asciiTheme="minorHAnsi" w:hAnsiTheme="minorHAnsi" w:cstheme="minorHAnsi"/>
          <w:sz w:val="22"/>
          <w:szCs w:val="22"/>
        </w:rPr>
        <w:t xml:space="preserve"> and has not made ‘</w:t>
      </w:r>
      <w:r w:rsidR="00B87503" w:rsidRPr="00B87503">
        <w:rPr>
          <w:rFonts w:asciiTheme="minorHAnsi" w:hAnsiTheme="minorHAnsi" w:cstheme="minorHAnsi"/>
          <w:sz w:val="22"/>
          <w:szCs w:val="22"/>
        </w:rPr>
        <w:t>as much use as possible of suitable brownfield sites and underutilised land</w:t>
      </w:r>
      <w:r w:rsidR="00B87503" w:rsidRPr="00B87503">
        <w:rPr>
          <w:rFonts w:asciiTheme="minorHAnsi" w:hAnsiTheme="minorHAnsi" w:cstheme="minorHAnsi"/>
          <w:sz w:val="22"/>
          <w:szCs w:val="22"/>
        </w:rPr>
        <w:t>’</w:t>
      </w:r>
      <w:r>
        <w:rPr>
          <w:rFonts w:asciiTheme="minorHAnsi" w:hAnsiTheme="minorHAnsi" w:cstheme="minorHAnsi"/>
          <w:sz w:val="22"/>
          <w:szCs w:val="22"/>
        </w:rPr>
        <w:t>.</w:t>
      </w:r>
    </w:p>
    <w:p w:rsidR="00EC4353" w:rsidRDefault="00EC4353" w:rsidP="0092542E">
      <w:pPr>
        <w:pStyle w:val="NormalWeb"/>
        <w:shd w:val="clear" w:color="auto" w:fill="FFFFFF"/>
        <w:spacing w:before="0" w:beforeAutospacing="0" w:after="0" w:afterAutospacing="0"/>
        <w:rPr>
          <w:rFonts w:asciiTheme="minorHAnsi" w:hAnsiTheme="minorHAnsi" w:cstheme="minorHAnsi"/>
          <w:sz w:val="22"/>
          <w:szCs w:val="22"/>
        </w:rPr>
      </w:pPr>
    </w:p>
    <w:p w:rsidR="00B87503" w:rsidRPr="00E714FD" w:rsidRDefault="00B87503" w:rsidP="0092542E">
      <w:pPr>
        <w:pStyle w:val="NormalWeb"/>
        <w:shd w:val="clear" w:color="auto" w:fill="FFFFFF"/>
        <w:spacing w:before="0" w:beforeAutospacing="0" w:after="0" w:afterAutospacing="0"/>
        <w:rPr>
          <w:rFonts w:asciiTheme="minorHAnsi" w:hAnsiTheme="minorHAnsi" w:cstheme="minorHAnsi"/>
          <w:sz w:val="22"/>
          <w:szCs w:val="22"/>
        </w:rPr>
      </w:pPr>
    </w:p>
    <w:p w:rsidR="00D17A77" w:rsidRPr="004164BE" w:rsidRDefault="00D17A77" w:rsidP="0092542E">
      <w:pPr>
        <w:pStyle w:val="NormalWeb"/>
        <w:shd w:val="clear" w:color="auto" w:fill="FFFFFF"/>
        <w:spacing w:before="0" w:beforeAutospacing="0" w:after="0" w:afterAutospacing="0"/>
        <w:rPr>
          <w:rFonts w:asciiTheme="minorHAnsi" w:hAnsiTheme="minorHAnsi" w:cstheme="minorHAnsi"/>
          <w:sz w:val="22"/>
          <w:szCs w:val="22"/>
          <w:u w:val="single"/>
        </w:rPr>
      </w:pPr>
      <w:r w:rsidRPr="004164BE">
        <w:rPr>
          <w:rFonts w:asciiTheme="minorHAnsi" w:hAnsiTheme="minorHAnsi" w:cstheme="minorHAnsi"/>
          <w:sz w:val="22"/>
          <w:szCs w:val="22"/>
          <w:u w:val="single"/>
        </w:rPr>
        <w:t>Additional note:</w:t>
      </w:r>
    </w:p>
    <w:bookmarkEnd w:id="3"/>
    <w:p w:rsidR="009D6BB3" w:rsidRPr="00E714FD" w:rsidRDefault="00EC435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It appears that the proposed figure of 5,400 houses is a </w:t>
      </w:r>
      <w:r w:rsidR="004A12DD">
        <w:rPr>
          <w:rFonts w:asciiTheme="minorHAnsi" w:hAnsiTheme="minorHAnsi" w:cstheme="minorHAnsi"/>
          <w:sz w:val="22"/>
          <w:szCs w:val="22"/>
        </w:rPr>
        <w:t xml:space="preserve">somewhat </w:t>
      </w:r>
      <w:r w:rsidRPr="00E714FD">
        <w:rPr>
          <w:rFonts w:asciiTheme="minorHAnsi" w:hAnsiTheme="minorHAnsi" w:cstheme="minorHAnsi"/>
          <w:sz w:val="22"/>
          <w:szCs w:val="22"/>
        </w:rPr>
        <w:t xml:space="preserve">crude attempt to meet the national </w:t>
      </w:r>
      <w:r w:rsidR="00790109" w:rsidRPr="00E714FD">
        <w:rPr>
          <w:rFonts w:asciiTheme="minorHAnsi" w:hAnsiTheme="minorHAnsi" w:cstheme="minorHAnsi"/>
          <w:sz w:val="22"/>
          <w:szCs w:val="22"/>
        </w:rPr>
        <w:t xml:space="preserve">minimum </w:t>
      </w:r>
      <w:r w:rsidRPr="00E714FD">
        <w:rPr>
          <w:rFonts w:asciiTheme="minorHAnsi" w:hAnsiTheme="minorHAnsi" w:cstheme="minorHAnsi"/>
          <w:sz w:val="22"/>
          <w:szCs w:val="22"/>
        </w:rPr>
        <w:t xml:space="preserve">target for development </w:t>
      </w:r>
      <w:r w:rsidR="00B535E6" w:rsidRPr="00E714FD">
        <w:rPr>
          <w:rFonts w:asciiTheme="minorHAnsi" w:hAnsiTheme="minorHAnsi" w:cstheme="minorHAnsi"/>
          <w:sz w:val="22"/>
          <w:szCs w:val="22"/>
        </w:rPr>
        <w:t xml:space="preserve">on previously developed land </w:t>
      </w:r>
      <w:r w:rsidRPr="00E714FD">
        <w:rPr>
          <w:rFonts w:asciiTheme="minorHAnsi" w:hAnsiTheme="minorHAnsi" w:cstheme="minorHAnsi"/>
          <w:sz w:val="22"/>
          <w:szCs w:val="22"/>
        </w:rPr>
        <w:t>set out in Planning Policy Statement 3:</w:t>
      </w:r>
    </w:p>
    <w:p w:rsidR="00EC4353" w:rsidRPr="00E714FD" w:rsidRDefault="00EC4353" w:rsidP="0092542E">
      <w:pPr>
        <w:pStyle w:val="NormalWeb"/>
        <w:shd w:val="clear" w:color="auto" w:fill="FFFFFF"/>
        <w:spacing w:before="0" w:beforeAutospacing="0" w:after="0" w:afterAutospacing="0"/>
        <w:rPr>
          <w:rFonts w:asciiTheme="minorHAnsi" w:hAnsiTheme="minorHAnsi" w:cstheme="minorHAnsi"/>
          <w:sz w:val="22"/>
          <w:szCs w:val="22"/>
        </w:rPr>
      </w:pPr>
    </w:p>
    <w:p w:rsidR="00EC4353" w:rsidRPr="004A12DD" w:rsidRDefault="00EC4353" w:rsidP="0092542E">
      <w:pPr>
        <w:pStyle w:val="NormalWeb"/>
        <w:shd w:val="clear" w:color="auto" w:fill="FFFFFF"/>
        <w:spacing w:before="0" w:beforeAutospacing="0" w:after="0" w:afterAutospacing="0"/>
        <w:rPr>
          <w:rFonts w:asciiTheme="minorHAnsi" w:hAnsiTheme="minorHAnsi" w:cstheme="minorHAnsi"/>
          <w:i/>
          <w:iCs/>
          <w:sz w:val="22"/>
          <w:szCs w:val="22"/>
        </w:rPr>
      </w:pPr>
      <w:r w:rsidRPr="004A12DD">
        <w:rPr>
          <w:rFonts w:asciiTheme="minorHAnsi" w:hAnsiTheme="minorHAnsi" w:cstheme="minorHAnsi"/>
          <w:i/>
          <w:iCs/>
          <w:sz w:val="22"/>
          <w:szCs w:val="22"/>
        </w:rPr>
        <w:t>‘41. The national annual target is that at least 60 per cent of new housing should be provided on previously developed land.’</w:t>
      </w:r>
    </w:p>
    <w:p w:rsidR="009D6BB3" w:rsidRPr="00B37D1C" w:rsidRDefault="00000000" w:rsidP="0092542E">
      <w:pPr>
        <w:pStyle w:val="NormalWeb"/>
        <w:shd w:val="clear" w:color="auto" w:fill="FFFFFF"/>
        <w:spacing w:before="0" w:beforeAutospacing="0" w:after="0" w:afterAutospacing="0"/>
        <w:rPr>
          <w:rFonts w:asciiTheme="minorHAnsi" w:hAnsiTheme="minorHAnsi" w:cstheme="minorHAnsi"/>
          <w:color w:val="0070C0"/>
          <w:sz w:val="22"/>
          <w:szCs w:val="22"/>
        </w:rPr>
      </w:pPr>
      <w:hyperlink r:id="rId8" w:history="1">
        <w:r w:rsidR="00790109" w:rsidRPr="00B37D1C">
          <w:rPr>
            <w:rStyle w:val="Hyperlink"/>
            <w:rFonts w:asciiTheme="minorHAnsi" w:hAnsiTheme="minorHAnsi" w:cstheme="minorHAnsi"/>
            <w:color w:val="0070C0"/>
            <w:sz w:val="22"/>
            <w:szCs w:val="22"/>
          </w:rPr>
          <w:t>Planning Policy Statement 3 (PPS3) (housinglin.org.uk)</w:t>
        </w:r>
      </w:hyperlink>
    </w:p>
    <w:p w:rsidR="00EC4353" w:rsidRPr="00E714FD" w:rsidRDefault="00EC4353" w:rsidP="0092542E">
      <w:pPr>
        <w:pStyle w:val="NormalWeb"/>
        <w:shd w:val="clear" w:color="auto" w:fill="FFFFFF"/>
        <w:spacing w:before="0" w:beforeAutospacing="0" w:after="0" w:afterAutospacing="0"/>
        <w:rPr>
          <w:rFonts w:asciiTheme="minorHAnsi" w:hAnsiTheme="minorHAnsi" w:cstheme="minorHAnsi"/>
          <w:sz w:val="22"/>
          <w:szCs w:val="22"/>
        </w:rPr>
      </w:pPr>
    </w:p>
    <w:p w:rsidR="00822D38" w:rsidRDefault="00EC435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The Draft Local Plan does not </w:t>
      </w:r>
      <w:r w:rsidR="00B535E6" w:rsidRPr="00E714FD">
        <w:rPr>
          <w:rFonts w:asciiTheme="minorHAnsi" w:hAnsiTheme="minorHAnsi" w:cstheme="minorHAnsi"/>
          <w:sz w:val="22"/>
          <w:szCs w:val="22"/>
        </w:rPr>
        <w:t>use all the Greenbelt sites put forward which would, if included, have resulted in a housing requirement much closer to that derived from the Standard Method. Instead, it includes 2,175 of the 5,400 proposed dwellings being on Greenbelt Land, an almost exact 60:40 split between brownfield and Greenbelt development</w:t>
      </w:r>
      <w:r w:rsidR="00822D38">
        <w:rPr>
          <w:rFonts w:asciiTheme="minorHAnsi" w:hAnsiTheme="minorHAnsi" w:cstheme="minorHAnsi"/>
          <w:sz w:val="22"/>
          <w:szCs w:val="22"/>
        </w:rPr>
        <w:t xml:space="preserve">. </w:t>
      </w:r>
    </w:p>
    <w:p w:rsidR="00822D38" w:rsidRDefault="00822D38" w:rsidP="0092542E">
      <w:pPr>
        <w:pStyle w:val="NormalWeb"/>
        <w:shd w:val="clear" w:color="auto" w:fill="FFFFFF"/>
        <w:spacing w:before="0" w:beforeAutospacing="0" w:after="0" w:afterAutospacing="0"/>
        <w:rPr>
          <w:rFonts w:asciiTheme="minorHAnsi" w:hAnsiTheme="minorHAnsi" w:cstheme="minorHAnsi"/>
          <w:sz w:val="22"/>
          <w:szCs w:val="22"/>
        </w:rPr>
      </w:pPr>
    </w:p>
    <w:p w:rsidR="00EC4353" w:rsidRPr="00E714FD" w:rsidRDefault="00822D38" w:rsidP="0092542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The Draft Local Plan has therefore incorporated </w:t>
      </w:r>
      <w:r w:rsidR="00B535E6" w:rsidRPr="00E714FD">
        <w:rPr>
          <w:rFonts w:asciiTheme="minorHAnsi" w:hAnsiTheme="minorHAnsi" w:cstheme="minorHAnsi"/>
          <w:sz w:val="22"/>
          <w:szCs w:val="22"/>
        </w:rPr>
        <w:t xml:space="preserve">the maximum </w:t>
      </w:r>
      <w:r>
        <w:rPr>
          <w:rFonts w:asciiTheme="minorHAnsi" w:hAnsiTheme="minorHAnsi" w:cstheme="minorHAnsi"/>
          <w:sz w:val="22"/>
          <w:szCs w:val="22"/>
        </w:rPr>
        <w:t>permissible</w:t>
      </w:r>
      <w:r w:rsidR="00B535E6" w:rsidRPr="00E714FD">
        <w:rPr>
          <w:rFonts w:asciiTheme="minorHAnsi" w:hAnsiTheme="minorHAnsi" w:cstheme="minorHAnsi"/>
          <w:sz w:val="22"/>
          <w:szCs w:val="22"/>
        </w:rPr>
        <w:t xml:space="preserve"> Greenbelt use</w:t>
      </w:r>
      <w:r>
        <w:rPr>
          <w:rFonts w:asciiTheme="minorHAnsi" w:hAnsiTheme="minorHAnsi" w:cstheme="minorHAnsi"/>
          <w:sz w:val="22"/>
          <w:szCs w:val="22"/>
        </w:rPr>
        <w:t xml:space="preserve"> under PPS3.</w:t>
      </w:r>
    </w:p>
    <w:p w:rsidR="00EC4353" w:rsidRPr="00E714FD" w:rsidRDefault="00EC4353" w:rsidP="0092542E">
      <w:pPr>
        <w:pStyle w:val="NormalWeb"/>
        <w:shd w:val="clear" w:color="auto" w:fill="FFFFFF"/>
        <w:spacing w:before="0" w:beforeAutospacing="0" w:after="0" w:afterAutospacing="0"/>
        <w:rPr>
          <w:rFonts w:asciiTheme="minorHAnsi" w:hAnsiTheme="minorHAnsi" w:cstheme="minorHAnsi"/>
          <w:sz w:val="22"/>
          <w:szCs w:val="22"/>
        </w:rPr>
      </w:pPr>
    </w:p>
    <w:p w:rsidR="00FC7547" w:rsidRPr="00E714FD" w:rsidRDefault="00FC7547"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There is no requirement</w:t>
      </w:r>
      <w:r w:rsidR="00D17A77" w:rsidRPr="00E714FD">
        <w:rPr>
          <w:rFonts w:asciiTheme="minorHAnsi" w:hAnsiTheme="minorHAnsi" w:cstheme="minorHAnsi"/>
          <w:sz w:val="22"/>
          <w:szCs w:val="22"/>
        </w:rPr>
        <w:t xml:space="preserve"> in PPS 3</w:t>
      </w:r>
      <w:r w:rsidRPr="00E714FD">
        <w:rPr>
          <w:rFonts w:asciiTheme="minorHAnsi" w:hAnsiTheme="minorHAnsi" w:cstheme="minorHAnsi"/>
          <w:sz w:val="22"/>
          <w:szCs w:val="22"/>
        </w:rPr>
        <w:t xml:space="preserve"> for using Greenbelt </w:t>
      </w:r>
      <w:r w:rsidR="00D17A77" w:rsidRPr="00E714FD">
        <w:rPr>
          <w:rFonts w:asciiTheme="minorHAnsi" w:hAnsiTheme="minorHAnsi" w:cstheme="minorHAnsi"/>
          <w:sz w:val="22"/>
          <w:szCs w:val="22"/>
        </w:rPr>
        <w:t>land</w:t>
      </w:r>
      <w:r w:rsidR="00822D38">
        <w:rPr>
          <w:rFonts w:asciiTheme="minorHAnsi" w:hAnsiTheme="minorHAnsi" w:cstheme="minorHAnsi"/>
          <w:sz w:val="22"/>
          <w:szCs w:val="22"/>
        </w:rPr>
        <w:t>,</w:t>
      </w:r>
      <w:r w:rsidR="00D17A77" w:rsidRPr="00E714FD">
        <w:rPr>
          <w:rFonts w:asciiTheme="minorHAnsi" w:hAnsiTheme="minorHAnsi" w:cstheme="minorHAnsi"/>
          <w:sz w:val="22"/>
          <w:szCs w:val="22"/>
        </w:rPr>
        <w:t xml:space="preserve"> and indeed the target in para 41 permits (and arguably encourages) 100% brownfield land development. </w:t>
      </w:r>
    </w:p>
    <w:p w:rsidR="00D17A77" w:rsidRPr="00E714FD" w:rsidRDefault="00D17A77" w:rsidP="0092542E">
      <w:pPr>
        <w:pStyle w:val="NormalWeb"/>
        <w:shd w:val="clear" w:color="auto" w:fill="FFFFFF"/>
        <w:spacing w:before="0" w:beforeAutospacing="0" w:after="0" w:afterAutospacing="0"/>
        <w:rPr>
          <w:rFonts w:asciiTheme="minorHAnsi" w:hAnsiTheme="minorHAnsi" w:cstheme="minorHAnsi"/>
          <w:sz w:val="22"/>
          <w:szCs w:val="22"/>
        </w:rPr>
      </w:pPr>
    </w:p>
    <w:p w:rsidR="00C6721E" w:rsidRPr="00E714FD" w:rsidRDefault="00C6721E"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Importantly, PPS 3 specifically mentions the option to reject development on greenfield sites (para 67):</w:t>
      </w:r>
    </w:p>
    <w:p w:rsidR="00C6721E" w:rsidRPr="00822D38" w:rsidRDefault="00C6721E" w:rsidP="0092542E">
      <w:pPr>
        <w:pStyle w:val="NormalWeb"/>
        <w:shd w:val="clear" w:color="auto" w:fill="FFFFFF"/>
        <w:spacing w:before="0" w:beforeAutospacing="0" w:after="0" w:afterAutospacing="0"/>
        <w:rPr>
          <w:rFonts w:asciiTheme="minorHAnsi" w:hAnsiTheme="minorHAnsi" w:cstheme="minorHAnsi"/>
          <w:i/>
          <w:iCs/>
          <w:sz w:val="22"/>
          <w:szCs w:val="22"/>
        </w:rPr>
      </w:pPr>
      <w:r w:rsidRPr="00822D38">
        <w:rPr>
          <w:rFonts w:asciiTheme="minorHAnsi" w:hAnsiTheme="minorHAnsi" w:cstheme="minorHAnsi"/>
          <w:i/>
          <w:iCs/>
          <w:sz w:val="22"/>
          <w:szCs w:val="22"/>
        </w:rPr>
        <w:t>‘Local Planning Authorities may consider invoking development control polices in relation to development on particular categories of land, for example, rejecting applications on greenfield sites’</w:t>
      </w:r>
    </w:p>
    <w:p w:rsidR="00C6721E" w:rsidRPr="00E714FD" w:rsidRDefault="00C6721E" w:rsidP="0092542E">
      <w:pPr>
        <w:pStyle w:val="NormalWeb"/>
        <w:shd w:val="clear" w:color="auto" w:fill="FFFFFF"/>
        <w:spacing w:before="0" w:beforeAutospacing="0" w:after="0" w:afterAutospacing="0"/>
        <w:rPr>
          <w:rFonts w:asciiTheme="minorHAnsi" w:hAnsiTheme="minorHAnsi" w:cstheme="minorHAnsi"/>
          <w:sz w:val="22"/>
          <w:szCs w:val="22"/>
        </w:rPr>
      </w:pPr>
    </w:p>
    <w:p w:rsidR="00790109" w:rsidRDefault="00822D38" w:rsidP="0092542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Rather than excluding or minimising Greenbelt development, the Draft Local Plan appears specifically and deliberately to maximise its use.</w:t>
      </w:r>
    </w:p>
    <w:p w:rsidR="00822D38" w:rsidRDefault="00822D38" w:rsidP="0092542E">
      <w:pPr>
        <w:pStyle w:val="NormalWeb"/>
        <w:shd w:val="clear" w:color="auto" w:fill="FFFFFF"/>
        <w:spacing w:before="0" w:beforeAutospacing="0" w:after="0" w:afterAutospacing="0"/>
        <w:rPr>
          <w:rFonts w:asciiTheme="minorHAnsi" w:hAnsiTheme="minorHAnsi" w:cstheme="minorHAnsi"/>
          <w:sz w:val="22"/>
          <w:szCs w:val="22"/>
        </w:rPr>
      </w:pPr>
    </w:p>
    <w:p w:rsidR="00822D38" w:rsidRPr="00E714FD" w:rsidRDefault="00822D38" w:rsidP="0092542E">
      <w:pPr>
        <w:pStyle w:val="NormalWeb"/>
        <w:shd w:val="clear" w:color="auto" w:fill="FFFFFF"/>
        <w:spacing w:before="0" w:beforeAutospacing="0" w:after="0" w:afterAutospacing="0"/>
        <w:rPr>
          <w:rFonts w:asciiTheme="minorHAnsi" w:hAnsiTheme="minorHAnsi" w:cstheme="minorHAnsi"/>
          <w:sz w:val="22"/>
          <w:szCs w:val="22"/>
        </w:rPr>
      </w:pPr>
    </w:p>
    <w:p w:rsidR="00790109" w:rsidRPr="00E714FD" w:rsidRDefault="00790109"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D078FB">
      <w:pPr>
        <w:pStyle w:val="NormalWeb"/>
        <w:numPr>
          <w:ilvl w:val="0"/>
          <w:numId w:val="14"/>
        </w:numPr>
        <w:shd w:val="clear" w:color="auto" w:fill="FFFFFF"/>
        <w:spacing w:before="0" w:beforeAutospacing="0" w:after="0" w:afterAutospacing="0"/>
        <w:rPr>
          <w:rFonts w:asciiTheme="minorHAnsi" w:hAnsiTheme="minorHAnsi" w:cstheme="minorHAnsi"/>
          <w:sz w:val="28"/>
          <w:szCs w:val="28"/>
        </w:rPr>
      </w:pPr>
      <w:r w:rsidRPr="00E714FD">
        <w:rPr>
          <w:rFonts w:asciiTheme="minorHAnsi" w:hAnsiTheme="minorHAnsi" w:cstheme="minorHAnsi"/>
          <w:sz w:val="28"/>
          <w:szCs w:val="28"/>
        </w:rPr>
        <w:t>Requirement to ‘</w:t>
      </w:r>
      <w:r w:rsidRPr="00E714FD">
        <w:rPr>
          <w:rFonts w:asciiTheme="minorHAnsi" w:hAnsiTheme="minorHAnsi" w:cstheme="minorHAnsi"/>
          <w:b/>
          <w:bCs/>
          <w:sz w:val="28"/>
          <w:szCs w:val="28"/>
          <w:u w:val="single"/>
        </w:rPr>
        <w:t>optimise the density of development’</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E9060D"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lastRenderedPageBreak/>
        <w:t xml:space="preserve">This paper does not attempt </w:t>
      </w:r>
      <w:r w:rsidR="009D6BB3" w:rsidRPr="00E714FD">
        <w:rPr>
          <w:rFonts w:asciiTheme="minorHAnsi" w:hAnsiTheme="minorHAnsi" w:cstheme="minorHAnsi"/>
          <w:sz w:val="22"/>
          <w:szCs w:val="22"/>
        </w:rPr>
        <w:t>to compile a comprehensive list of sites, the proposed density of which does not meet policy</w:t>
      </w:r>
      <w:r w:rsidR="00822D38">
        <w:rPr>
          <w:rFonts w:asciiTheme="minorHAnsi" w:hAnsiTheme="minorHAnsi" w:cstheme="minorHAnsi"/>
          <w:sz w:val="22"/>
          <w:szCs w:val="22"/>
        </w:rPr>
        <w:t>,</w:t>
      </w:r>
      <w:r w:rsidR="009D6BB3" w:rsidRPr="00E714FD">
        <w:rPr>
          <w:rFonts w:asciiTheme="minorHAnsi" w:hAnsiTheme="minorHAnsi" w:cstheme="minorHAnsi"/>
          <w:sz w:val="22"/>
          <w:szCs w:val="22"/>
        </w:rPr>
        <w:t xml:space="preserve"> as it is sufficient only to show an area in which the requirement has not been met, in order to demonstrate non-compliance with this requirement.</w:t>
      </w: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Policy S3 states that sites within ‘Epsom Town Centre [will have] a minimum density of 80 dwellings per hectare (dph);</w:t>
      </w: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Site SA2, totalling 1.61 ha, is planned to accommodate ‘at least 90 new homes’. This equates to just under 56 dph and therefore does not meet the policy. </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Before being able to conclude that exceptional circumstances exist to justify changes to Green Belt boundaries, there appears to be considerable work left to be done.</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bookmarkEnd w:id="2"/>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D078FB" w:rsidP="00D078FB">
      <w:pPr>
        <w:pStyle w:val="NormalWeb"/>
        <w:numPr>
          <w:ilvl w:val="0"/>
          <w:numId w:val="14"/>
        </w:numPr>
        <w:shd w:val="clear" w:color="auto" w:fill="FFFFFF"/>
        <w:spacing w:before="0" w:beforeAutospacing="0" w:after="0" w:afterAutospacing="0"/>
        <w:rPr>
          <w:rFonts w:asciiTheme="minorHAnsi" w:hAnsiTheme="minorHAnsi" w:cstheme="minorHAnsi"/>
          <w:sz w:val="28"/>
          <w:szCs w:val="28"/>
        </w:rPr>
      </w:pPr>
      <w:r w:rsidRPr="00E714FD">
        <w:rPr>
          <w:rFonts w:asciiTheme="minorHAnsi" w:hAnsiTheme="minorHAnsi" w:cstheme="minorHAnsi"/>
          <w:sz w:val="28"/>
          <w:szCs w:val="28"/>
        </w:rPr>
        <w:t>Needs assessment</w:t>
      </w: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Paragraph 4.8 of the EEBC Green Belt Technical Note _2023_ (Green Belt Study Stage 1 - 2017) states:</w:t>
      </w: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i/>
          <w:iCs/>
          <w:sz w:val="22"/>
          <w:szCs w:val="22"/>
        </w:rPr>
      </w:pPr>
      <w:r w:rsidRPr="00E733C0">
        <w:rPr>
          <w:rFonts w:asciiTheme="minorHAnsi" w:hAnsiTheme="minorHAnsi" w:cstheme="minorHAnsi"/>
          <w:i/>
          <w:iCs/>
          <w:sz w:val="22"/>
          <w:szCs w:val="22"/>
        </w:rPr>
        <w:t>‘The professional view of officers is that we have exceptional circumstances to warrant amending Green Belt boundaries to help meet our needs.’</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9D7D5A"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14FD">
        <w:rPr>
          <w:rFonts w:asciiTheme="minorHAnsi" w:hAnsiTheme="minorHAnsi" w:cstheme="minorHAnsi"/>
          <w:sz w:val="22"/>
          <w:szCs w:val="22"/>
        </w:rPr>
        <w:t xml:space="preserve">It can be assumed that, by ‘needs’, the officers are referring to the housing target output from the Standard Method included in the NPPF. </w:t>
      </w:r>
    </w:p>
    <w:p w:rsidR="009D7D5A" w:rsidRDefault="009D7D5A"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Default="009D7D5A" w:rsidP="0092542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As explained in 4f above, it has been demonstrated that it is not necessary to meet the ‘Need’ resulting from application of the Standard Method. Please see separate ‘</w:t>
      </w:r>
      <w:r w:rsidRPr="009D7D5A">
        <w:rPr>
          <w:rFonts w:asciiTheme="minorHAnsi" w:hAnsiTheme="minorHAnsi" w:cstheme="minorHAnsi"/>
          <w:sz w:val="22"/>
          <w:szCs w:val="22"/>
        </w:rPr>
        <w:t>Paper on the Calculation of Housing Need</w:t>
      </w:r>
      <w:r>
        <w:rPr>
          <w:rFonts w:asciiTheme="minorHAnsi" w:hAnsiTheme="minorHAnsi" w:cstheme="minorHAnsi"/>
          <w:sz w:val="22"/>
          <w:szCs w:val="22"/>
        </w:rPr>
        <w:t>’ which indicates that the actual need may be considerably lower than the amount stated.</w:t>
      </w:r>
    </w:p>
    <w:p w:rsidR="009D7D5A" w:rsidRDefault="009D7D5A" w:rsidP="0092542E">
      <w:pPr>
        <w:pStyle w:val="NormalWeb"/>
        <w:shd w:val="clear" w:color="auto" w:fill="FFFFFF"/>
        <w:spacing w:before="0" w:beforeAutospacing="0" w:after="0" w:afterAutospacing="0"/>
        <w:rPr>
          <w:rFonts w:asciiTheme="minorHAnsi" w:hAnsiTheme="minorHAnsi" w:cstheme="minorHAnsi"/>
          <w:sz w:val="22"/>
          <w:szCs w:val="22"/>
        </w:rPr>
      </w:pPr>
    </w:p>
    <w:p w:rsidR="009D7D5A" w:rsidRPr="00E714FD" w:rsidRDefault="009D7D5A" w:rsidP="0092542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Therefore if real ‘need’ is lower than that stated, and it is not mandatory to meet even the lower need, it follows that further work would be required to demonstrate the existence of exceptional circumstances. </w:t>
      </w:r>
    </w:p>
    <w:p w:rsidR="009D6BB3" w:rsidRPr="00E714FD"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D078FB" w:rsidRPr="00E714FD" w:rsidRDefault="00D078FB" w:rsidP="00D078FB">
      <w:pPr>
        <w:pStyle w:val="NormalWeb"/>
        <w:numPr>
          <w:ilvl w:val="0"/>
          <w:numId w:val="14"/>
        </w:numPr>
        <w:shd w:val="clear" w:color="auto" w:fill="FFFFFF"/>
        <w:spacing w:before="0" w:beforeAutospacing="0" w:after="0" w:afterAutospacing="0"/>
        <w:rPr>
          <w:rFonts w:asciiTheme="minorHAnsi" w:hAnsiTheme="minorHAnsi" w:cstheme="minorHAnsi"/>
          <w:sz w:val="28"/>
          <w:szCs w:val="28"/>
        </w:rPr>
      </w:pPr>
      <w:r w:rsidRPr="00E714FD">
        <w:rPr>
          <w:rFonts w:asciiTheme="minorHAnsi" w:hAnsiTheme="minorHAnsi" w:cstheme="minorHAnsi"/>
          <w:sz w:val="28"/>
          <w:szCs w:val="28"/>
        </w:rPr>
        <w:t>Area of Greenbelt released</w:t>
      </w:r>
    </w:p>
    <w:p w:rsidR="00D078FB" w:rsidRPr="00E714FD" w:rsidRDefault="00D078FB"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sz w:val="22"/>
          <w:szCs w:val="22"/>
        </w:rPr>
      </w:pPr>
      <w:r w:rsidRPr="00E733C0">
        <w:rPr>
          <w:rFonts w:asciiTheme="minorHAnsi" w:hAnsiTheme="minorHAnsi" w:cstheme="minorHAnsi"/>
          <w:sz w:val="22"/>
          <w:szCs w:val="22"/>
        </w:rPr>
        <w:t>Paragraph 4.8 of the EEBC Green Belt Technical Note _2023_ (Green Belt Study Stage 1 - 2017) goes on to state:</w:t>
      </w: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i/>
          <w:iCs/>
          <w:sz w:val="22"/>
          <w:szCs w:val="22"/>
        </w:rPr>
      </w:pPr>
      <w:r w:rsidRPr="00E733C0">
        <w:rPr>
          <w:rFonts w:asciiTheme="minorHAnsi" w:hAnsiTheme="minorHAnsi" w:cstheme="minorHAnsi"/>
          <w:i/>
          <w:iCs/>
          <w:sz w:val="22"/>
          <w:szCs w:val="22"/>
        </w:rPr>
        <w:t>‘The key point is that the release at just 3.6% of the boroughs Green Belt is very limited and therefore the benefits clearly outweigh the degree of harm.’</w:t>
      </w: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CF69BF" w:rsidRDefault="00CF69BF" w:rsidP="0092542E">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It appears that the</w:t>
      </w:r>
      <w:r w:rsidR="009D6BB3" w:rsidRPr="00E733C0">
        <w:rPr>
          <w:rFonts w:asciiTheme="minorHAnsi" w:hAnsiTheme="minorHAnsi" w:cstheme="minorHAnsi"/>
          <w:sz w:val="22"/>
          <w:szCs w:val="22"/>
        </w:rPr>
        <w:t xml:space="preserve"> calculation of the ‘just 3.6%’ </w:t>
      </w:r>
      <w:r w:rsidR="00E9060D" w:rsidRPr="00E733C0">
        <w:rPr>
          <w:rFonts w:asciiTheme="minorHAnsi" w:hAnsiTheme="minorHAnsi" w:cstheme="minorHAnsi"/>
          <w:sz w:val="22"/>
          <w:szCs w:val="22"/>
        </w:rPr>
        <w:t xml:space="preserve">has not been </w:t>
      </w:r>
      <w:r>
        <w:rPr>
          <w:rFonts w:asciiTheme="minorHAnsi" w:hAnsiTheme="minorHAnsi" w:cstheme="minorHAnsi"/>
          <w:sz w:val="22"/>
          <w:szCs w:val="22"/>
        </w:rPr>
        <w:t>included</w:t>
      </w:r>
      <w:r w:rsidR="00E9060D" w:rsidRPr="00E733C0">
        <w:rPr>
          <w:rFonts w:asciiTheme="minorHAnsi" w:hAnsiTheme="minorHAnsi" w:cstheme="minorHAnsi"/>
          <w:sz w:val="22"/>
          <w:szCs w:val="22"/>
        </w:rPr>
        <w:t xml:space="preserve"> </w:t>
      </w:r>
      <w:r w:rsidR="009D6BB3" w:rsidRPr="00E733C0">
        <w:rPr>
          <w:rFonts w:asciiTheme="minorHAnsi" w:hAnsiTheme="minorHAnsi" w:cstheme="minorHAnsi"/>
          <w:sz w:val="22"/>
          <w:szCs w:val="22"/>
        </w:rPr>
        <w:t xml:space="preserve">in the supporting papers to the </w:t>
      </w:r>
      <w:r>
        <w:rPr>
          <w:rFonts w:asciiTheme="minorHAnsi" w:hAnsiTheme="minorHAnsi" w:cstheme="minorHAnsi"/>
          <w:sz w:val="22"/>
          <w:szCs w:val="22"/>
        </w:rPr>
        <w:t xml:space="preserve">Draft </w:t>
      </w:r>
      <w:r w:rsidR="009D6BB3" w:rsidRPr="00E733C0">
        <w:rPr>
          <w:rFonts w:asciiTheme="minorHAnsi" w:hAnsiTheme="minorHAnsi" w:cstheme="minorHAnsi"/>
          <w:sz w:val="22"/>
          <w:szCs w:val="22"/>
        </w:rPr>
        <w:t xml:space="preserve">Local Plan. </w:t>
      </w:r>
      <w:r w:rsidR="00E9060D" w:rsidRPr="00E733C0">
        <w:rPr>
          <w:rFonts w:asciiTheme="minorHAnsi" w:hAnsiTheme="minorHAnsi" w:cstheme="minorHAnsi"/>
          <w:sz w:val="22"/>
          <w:szCs w:val="22"/>
        </w:rPr>
        <w:t>This paper therefore includes a</w:t>
      </w:r>
      <w:r w:rsidR="009D6BB3" w:rsidRPr="00E733C0">
        <w:rPr>
          <w:rFonts w:asciiTheme="minorHAnsi" w:hAnsiTheme="minorHAnsi" w:cstheme="minorHAnsi"/>
          <w:sz w:val="22"/>
          <w:szCs w:val="22"/>
        </w:rPr>
        <w:t xml:space="preserve"> calculation based on ‘available Greenbelt’, starting from the estimated 1,433 ha of Greenbelt </w:t>
      </w:r>
      <w:r w:rsidR="009D6BB3" w:rsidRPr="00B37D1C">
        <w:rPr>
          <w:rFonts w:asciiTheme="minorHAnsi" w:hAnsiTheme="minorHAnsi" w:cstheme="minorHAnsi"/>
          <w:color w:val="000000" w:themeColor="text1"/>
          <w:sz w:val="22"/>
          <w:szCs w:val="22"/>
        </w:rPr>
        <w:t xml:space="preserve">from the </w:t>
      </w:r>
      <w:hyperlink r:id="rId9" w:history="1">
        <w:r w:rsidR="009D6BB3" w:rsidRPr="00B37D1C">
          <w:rPr>
            <w:rStyle w:val="Hyperlink"/>
            <w:rFonts w:asciiTheme="minorHAnsi" w:hAnsiTheme="minorHAnsi" w:cstheme="minorHAnsi"/>
            <w:color w:val="0070C0"/>
            <w:sz w:val="22"/>
            <w:szCs w:val="22"/>
          </w:rPr>
          <w:t>Biodiversity and Planning in Epsom &amp; Ewell (epsom-ewell.gov.uk)</w:t>
        </w:r>
      </w:hyperlink>
      <w:r w:rsidR="009D6BB3" w:rsidRPr="00E733C0">
        <w:rPr>
          <w:rFonts w:asciiTheme="minorHAnsi" w:hAnsiTheme="minorHAnsi" w:cstheme="minorHAnsi"/>
          <w:sz w:val="22"/>
          <w:szCs w:val="22"/>
        </w:rPr>
        <w:t xml:space="preserve"> and excluding </w:t>
      </w:r>
      <w:r w:rsidR="00E733C0">
        <w:rPr>
          <w:rFonts w:asciiTheme="minorHAnsi" w:hAnsiTheme="minorHAnsi" w:cstheme="minorHAnsi"/>
          <w:sz w:val="22"/>
          <w:szCs w:val="22"/>
        </w:rPr>
        <w:t>a number</w:t>
      </w:r>
      <w:r w:rsidR="00483D1F" w:rsidRPr="00E733C0">
        <w:rPr>
          <w:rFonts w:asciiTheme="minorHAnsi" w:hAnsiTheme="minorHAnsi" w:cstheme="minorHAnsi"/>
          <w:sz w:val="22"/>
          <w:szCs w:val="22"/>
        </w:rPr>
        <w:t xml:space="preserve"> of the </w:t>
      </w:r>
      <w:r w:rsidR="009D6BB3" w:rsidRPr="00E733C0">
        <w:rPr>
          <w:rFonts w:asciiTheme="minorHAnsi" w:hAnsiTheme="minorHAnsi" w:cstheme="minorHAnsi"/>
          <w:sz w:val="22"/>
          <w:szCs w:val="22"/>
        </w:rPr>
        <w:t>sites that are already developed</w:t>
      </w:r>
      <w:r w:rsidR="00E9060D" w:rsidRPr="00E733C0">
        <w:rPr>
          <w:rFonts w:asciiTheme="minorHAnsi" w:hAnsiTheme="minorHAnsi" w:cstheme="minorHAnsi"/>
          <w:sz w:val="22"/>
          <w:szCs w:val="22"/>
        </w:rPr>
        <w:t xml:space="preserve"> (housing, commercial properties, golf courses, the Epsom horse race tracks</w:t>
      </w:r>
      <w:r w:rsidR="009D6BB3" w:rsidRPr="00E733C0">
        <w:rPr>
          <w:rFonts w:asciiTheme="minorHAnsi" w:hAnsiTheme="minorHAnsi" w:cstheme="minorHAnsi"/>
          <w:sz w:val="22"/>
          <w:szCs w:val="22"/>
        </w:rPr>
        <w:t>, Local Nature Reserves, cemeteries, etc</w:t>
      </w:r>
      <w:r w:rsidR="00483D1F" w:rsidRPr="00E733C0">
        <w:rPr>
          <w:rFonts w:asciiTheme="minorHAnsi" w:hAnsiTheme="minorHAnsi" w:cstheme="minorHAnsi"/>
          <w:sz w:val="22"/>
          <w:szCs w:val="22"/>
        </w:rPr>
        <w:t>)</w:t>
      </w:r>
      <w:r w:rsidR="009D6BB3" w:rsidRPr="00E733C0">
        <w:rPr>
          <w:rFonts w:asciiTheme="minorHAnsi" w:hAnsiTheme="minorHAnsi" w:cstheme="minorHAnsi"/>
          <w:sz w:val="22"/>
          <w:szCs w:val="22"/>
        </w:rPr>
        <w:t xml:space="preserve">. </w:t>
      </w:r>
    </w:p>
    <w:p w:rsidR="009D6BB3" w:rsidRPr="00E733C0" w:rsidRDefault="009D6BB3" w:rsidP="00CF69BF">
      <w:pPr>
        <w:pStyle w:val="NormalWeb"/>
        <w:shd w:val="clear" w:color="auto" w:fill="FFFFFF"/>
        <w:spacing w:before="0" w:beforeAutospacing="0" w:after="0" w:afterAutospacing="0"/>
        <w:ind w:left="720"/>
        <w:rPr>
          <w:rFonts w:asciiTheme="minorHAnsi" w:hAnsiTheme="minorHAnsi" w:cstheme="minorHAnsi"/>
          <w:sz w:val="22"/>
          <w:szCs w:val="22"/>
        </w:rPr>
      </w:pPr>
      <w:r w:rsidRPr="00E733C0">
        <w:rPr>
          <w:rFonts w:asciiTheme="minorHAnsi" w:hAnsiTheme="minorHAnsi" w:cstheme="minorHAnsi"/>
          <w:sz w:val="22"/>
          <w:szCs w:val="22"/>
        </w:rPr>
        <w:t xml:space="preserve">This gives a figure of </w:t>
      </w:r>
      <w:r w:rsidR="005B48BA" w:rsidRPr="00E733C0">
        <w:rPr>
          <w:rFonts w:asciiTheme="minorHAnsi" w:hAnsiTheme="minorHAnsi" w:cstheme="minorHAnsi"/>
          <w:sz w:val="22"/>
          <w:szCs w:val="22"/>
        </w:rPr>
        <w:t>7.6</w:t>
      </w:r>
      <w:r w:rsidRPr="00E733C0">
        <w:rPr>
          <w:rFonts w:asciiTheme="minorHAnsi" w:hAnsiTheme="minorHAnsi" w:cstheme="minorHAnsi"/>
          <w:sz w:val="22"/>
          <w:szCs w:val="22"/>
        </w:rPr>
        <w:t>% (</w:t>
      </w:r>
      <w:r w:rsidR="00483D1F" w:rsidRPr="00E733C0">
        <w:rPr>
          <w:rFonts w:asciiTheme="minorHAnsi" w:hAnsiTheme="minorHAnsi" w:cstheme="minorHAnsi"/>
          <w:sz w:val="22"/>
          <w:szCs w:val="22"/>
        </w:rPr>
        <w:t>see appendix 1</w:t>
      </w:r>
      <w:r w:rsidRPr="00E733C0">
        <w:rPr>
          <w:rFonts w:asciiTheme="minorHAnsi" w:hAnsiTheme="minorHAnsi" w:cstheme="minorHAnsi"/>
          <w:sz w:val="22"/>
          <w:szCs w:val="22"/>
        </w:rPr>
        <w:t>).</w:t>
      </w:r>
    </w:p>
    <w:p w:rsidR="009D6BB3" w:rsidRPr="00E733C0" w:rsidRDefault="009D6BB3" w:rsidP="0092542E">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E733C0">
        <w:rPr>
          <w:rFonts w:asciiTheme="minorHAnsi" w:hAnsiTheme="minorHAnsi" w:cstheme="minorHAnsi"/>
          <w:sz w:val="22"/>
          <w:szCs w:val="22"/>
        </w:rPr>
        <w:t xml:space="preserve">There is no analysis provided </w:t>
      </w:r>
      <w:r w:rsidR="00CF69BF">
        <w:rPr>
          <w:rFonts w:asciiTheme="minorHAnsi" w:hAnsiTheme="minorHAnsi" w:cstheme="minorHAnsi"/>
          <w:sz w:val="22"/>
          <w:szCs w:val="22"/>
        </w:rPr>
        <w:t xml:space="preserve">in the Draft Local Plan </w:t>
      </w:r>
      <w:r w:rsidRPr="00E733C0">
        <w:rPr>
          <w:rFonts w:asciiTheme="minorHAnsi" w:hAnsiTheme="minorHAnsi" w:cstheme="minorHAnsi"/>
          <w:sz w:val="22"/>
          <w:szCs w:val="22"/>
        </w:rPr>
        <w:t xml:space="preserve">as to why ‘just 3.6%’ would result in a benefit that ‘clearly outweigh[s] the degree of harm’. Without such an analysis it is not </w:t>
      </w:r>
      <w:r w:rsidRPr="00E733C0">
        <w:rPr>
          <w:rFonts w:asciiTheme="minorHAnsi" w:hAnsiTheme="minorHAnsi" w:cstheme="minorHAnsi"/>
          <w:sz w:val="22"/>
          <w:szCs w:val="22"/>
        </w:rPr>
        <w:lastRenderedPageBreak/>
        <w:t>possible for a</w:t>
      </w:r>
      <w:r w:rsidR="00F82567" w:rsidRPr="00E733C0">
        <w:rPr>
          <w:rFonts w:asciiTheme="minorHAnsi" w:hAnsiTheme="minorHAnsi" w:cstheme="minorHAnsi"/>
          <w:sz w:val="22"/>
          <w:szCs w:val="22"/>
        </w:rPr>
        <w:t xml:space="preserve">n assessment to be made as to whether the reasoning provides justification for the </w:t>
      </w:r>
      <w:r w:rsidRPr="00E733C0">
        <w:rPr>
          <w:rFonts w:asciiTheme="minorHAnsi" w:hAnsiTheme="minorHAnsi" w:cstheme="minorHAnsi"/>
          <w:sz w:val="22"/>
          <w:szCs w:val="22"/>
        </w:rPr>
        <w:t>conclusion</w:t>
      </w:r>
      <w:r w:rsidR="00F82567" w:rsidRPr="00E733C0">
        <w:rPr>
          <w:rFonts w:asciiTheme="minorHAnsi" w:hAnsiTheme="minorHAnsi" w:cstheme="minorHAnsi"/>
          <w:sz w:val="22"/>
          <w:szCs w:val="22"/>
        </w:rPr>
        <w:t xml:space="preserve"> drawn</w:t>
      </w:r>
      <w:r w:rsidRPr="00E733C0">
        <w:rPr>
          <w:rFonts w:asciiTheme="minorHAnsi" w:hAnsiTheme="minorHAnsi" w:cstheme="minorHAnsi"/>
          <w:sz w:val="22"/>
          <w:szCs w:val="22"/>
        </w:rPr>
        <w:t xml:space="preserve">. </w:t>
      </w:r>
    </w:p>
    <w:p w:rsidR="009D6BB3" w:rsidRPr="00E733C0" w:rsidRDefault="009D6BB3" w:rsidP="0092542E">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E733C0">
        <w:rPr>
          <w:rFonts w:asciiTheme="minorHAnsi" w:hAnsiTheme="minorHAnsi" w:cstheme="minorHAnsi"/>
          <w:sz w:val="22"/>
          <w:szCs w:val="22"/>
        </w:rPr>
        <w:t xml:space="preserve">A release of </w:t>
      </w:r>
      <w:r w:rsidR="005B48BA" w:rsidRPr="00E733C0">
        <w:rPr>
          <w:rFonts w:asciiTheme="minorHAnsi" w:hAnsiTheme="minorHAnsi" w:cstheme="minorHAnsi"/>
          <w:sz w:val="22"/>
          <w:szCs w:val="22"/>
        </w:rPr>
        <w:t>7.6</w:t>
      </w:r>
      <w:r w:rsidRPr="00E733C0">
        <w:rPr>
          <w:rFonts w:asciiTheme="minorHAnsi" w:hAnsiTheme="minorHAnsi" w:cstheme="minorHAnsi"/>
          <w:sz w:val="22"/>
          <w:szCs w:val="22"/>
        </w:rPr>
        <w:t>% of available greenbelt is not ‘very limited’ and an even more definitive argument for its release would be required (than for a 3.6% release) before it could be supported.</w:t>
      </w:r>
    </w:p>
    <w:p w:rsidR="009D6BB3" w:rsidRPr="00E733C0" w:rsidRDefault="00E733C0" w:rsidP="0092542E">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A</w:t>
      </w:r>
      <w:r w:rsidR="009D6BB3" w:rsidRPr="00E733C0">
        <w:rPr>
          <w:rFonts w:asciiTheme="minorHAnsi" w:hAnsiTheme="minorHAnsi" w:cstheme="minorHAnsi"/>
          <w:sz w:val="22"/>
          <w:szCs w:val="22"/>
        </w:rPr>
        <w:t xml:space="preserve"> clear justification </w:t>
      </w:r>
      <w:r>
        <w:rPr>
          <w:rFonts w:asciiTheme="minorHAnsi" w:hAnsiTheme="minorHAnsi" w:cstheme="minorHAnsi"/>
          <w:sz w:val="22"/>
          <w:szCs w:val="22"/>
        </w:rPr>
        <w:t xml:space="preserve">has not been found </w:t>
      </w:r>
      <w:r w:rsidR="009D6BB3" w:rsidRPr="00E733C0">
        <w:rPr>
          <w:rFonts w:asciiTheme="minorHAnsi" w:hAnsiTheme="minorHAnsi" w:cstheme="minorHAnsi"/>
          <w:sz w:val="22"/>
          <w:szCs w:val="22"/>
        </w:rPr>
        <w:t xml:space="preserve">for the specific locations and total land areas put forward for development, as opposed to a greater or lesser extent of development (to get closer to the higher Standard Method calculation, or closer to the lower, actual need based on up-to-date data). Paragraphs 4.9 </w:t>
      </w:r>
      <w:r w:rsidR="001456B5">
        <w:rPr>
          <w:rFonts w:asciiTheme="minorHAnsi" w:hAnsiTheme="minorHAnsi" w:cstheme="minorHAnsi"/>
          <w:sz w:val="22"/>
          <w:szCs w:val="22"/>
        </w:rPr>
        <w:t>to</w:t>
      </w:r>
      <w:r w:rsidR="009D6BB3" w:rsidRPr="00E733C0">
        <w:rPr>
          <w:rFonts w:asciiTheme="minorHAnsi" w:hAnsiTheme="minorHAnsi" w:cstheme="minorHAnsi"/>
          <w:sz w:val="22"/>
          <w:szCs w:val="22"/>
        </w:rPr>
        <w:t xml:space="preserve"> 4.1</w:t>
      </w:r>
      <w:r w:rsidR="001456B5">
        <w:rPr>
          <w:rFonts w:asciiTheme="minorHAnsi" w:hAnsiTheme="minorHAnsi" w:cstheme="minorHAnsi"/>
          <w:sz w:val="22"/>
          <w:szCs w:val="22"/>
        </w:rPr>
        <w:t>1</w:t>
      </w:r>
      <w:r w:rsidR="009D6BB3" w:rsidRPr="00E733C0">
        <w:rPr>
          <w:rFonts w:asciiTheme="minorHAnsi" w:hAnsiTheme="minorHAnsi" w:cstheme="minorHAnsi"/>
          <w:sz w:val="22"/>
          <w:szCs w:val="22"/>
        </w:rPr>
        <w:t xml:space="preserve"> </w:t>
      </w:r>
      <w:r w:rsidR="00CF69BF">
        <w:rPr>
          <w:rFonts w:asciiTheme="minorHAnsi" w:hAnsiTheme="minorHAnsi" w:cstheme="minorHAnsi"/>
          <w:sz w:val="22"/>
          <w:szCs w:val="22"/>
        </w:rPr>
        <w:t xml:space="preserve">of the </w:t>
      </w:r>
      <w:r w:rsidR="001456B5">
        <w:rPr>
          <w:rFonts w:asciiTheme="minorHAnsi" w:hAnsiTheme="minorHAnsi" w:cstheme="minorHAnsi"/>
          <w:sz w:val="22"/>
          <w:szCs w:val="22"/>
        </w:rPr>
        <w:t>‘Green Belt Technical Note’</w:t>
      </w:r>
      <w:r w:rsidR="00CF69BF">
        <w:rPr>
          <w:rFonts w:asciiTheme="minorHAnsi" w:hAnsiTheme="minorHAnsi" w:cstheme="minorHAnsi"/>
          <w:sz w:val="22"/>
          <w:szCs w:val="22"/>
        </w:rPr>
        <w:t xml:space="preserve"> </w:t>
      </w:r>
      <w:r w:rsidR="009D6BB3" w:rsidRPr="00E733C0">
        <w:rPr>
          <w:rFonts w:asciiTheme="minorHAnsi" w:hAnsiTheme="minorHAnsi" w:cstheme="minorHAnsi"/>
          <w:sz w:val="22"/>
          <w:szCs w:val="22"/>
        </w:rPr>
        <w:t>do not provide this justification. In the absence of this analysis, it is not possible to support the officers’ assessment.</w:t>
      </w:r>
    </w:p>
    <w:p w:rsidR="009D6BB3" w:rsidRPr="00E733C0" w:rsidRDefault="009D6BB3" w:rsidP="0092542E">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E733C0">
        <w:rPr>
          <w:rFonts w:asciiTheme="minorHAnsi" w:hAnsiTheme="minorHAnsi" w:cstheme="minorHAnsi"/>
          <w:sz w:val="22"/>
          <w:szCs w:val="22"/>
        </w:rPr>
        <w:t xml:space="preserve">Objectively, the conclusion in paragraph 4.12 has not been supported by robust analysis </w:t>
      </w:r>
      <w:r w:rsidR="00E733C0">
        <w:rPr>
          <w:rFonts w:asciiTheme="minorHAnsi" w:hAnsiTheme="minorHAnsi" w:cstheme="minorHAnsi"/>
          <w:sz w:val="22"/>
          <w:szCs w:val="22"/>
        </w:rPr>
        <w:t>n</w:t>
      </w:r>
      <w:r w:rsidRPr="00E733C0">
        <w:rPr>
          <w:rFonts w:asciiTheme="minorHAnsi" w:hAnsiTheme="minorHAnsi" w:cstheme="minorHAnsi"/>
          <w:sz w:val="22"/>
          <w:szCs w:val="22"/>
        </w:rPr>
        <w:t xml:space="preserve">or </w:t>
      </w:r>
      <w:r w:rsidR="00E733C0">
        <w:rPr>
          <w:rFonts w:asciiTheme="minorHAnsi" w:hAnsiTheme="minorHAnsi" w:cstheme="minorHAnsi"/>
          <w:sz w:val="22"/>
          <w:szCs w:val="22"/>
        </w:rPr>
        <w:t>in</w:t>
      </w:r>
      <w:r w:rsidRPr="00E733C0">
        <w:rPr>
          <w:rFonts w:asciiTheme="minorHAnsi" w:hAnsiTheme="minorHAnsi" w:cstheme="minorHAnsi"/>
          <w:sz w:val="22"/>
          <w:szCs w:val="22"/>
        </w:rPr>
        <w:t xml:space="preserve"> full compliance with NPPF para 141.</w:t>
      </w: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9D6BB3" w:rsidRPr="00E733C0" w:rsidRDefault="009D6BB3" w:rsidP="0092542E">
      <w:pPr>
        <w:pStyle w:val="NormalWeb"/>
        <w:shd w:val="clear" w:color="auto" w:fill="FFFFFF"/>
        <w:spacing w:before="0" w:beforeAutospacing="0" w:after="0" w:afterAutospacing="0"/>
        <w:rPr>
          <w:rFonts w:asciiTheme="minorHAnsi" w:hAnsiTheme="minorHAnsi" w:cstheme="minorHAnsi"/>
          <w:sz w:val="22"/>
          <w:szCs w:val="22"/>
        </w:rPr>
      </w:pPr>
    </w:p>
    <w:p w:rsidR="0087570D" w:rsidRPr="00E733C0" w:rsidRDefault="00EA1ACB" w:rsidP="00EA1ACB">
      <w:pPr>
        <w:pStyle w:val="ListParagraph"/>
        <w:numPr>
          <w:ilvl w:val="0"/>
          <w:numId w:val="14"/>
        </w:numPr>
        <w:spacing w:after="0" w:line="240" w:lineRule="auto"/>
        <w:rPr>
          <w:rFonts w:cstheme="minorHAnsi"/>
          <w:sz w:val="28"/>
          <w:szCs w:val="28"/>
        </w:rPr>
      </w:pPr>
      <w:r w:rsidRPr="00E733C0">
        <w:rPr>
          <w:rFonts w:cstheme="minorHAnsi"/>
          <w:sz w:val="28"/>
          <w:szCs w:val="28"/>
        </w:rPr>
        <w:t>Preconditions for Greenbelt release</w:t>
      </w:r>
    </w:p>
    <w:p w:rsidR="0087570D" w:rsidRPr="00E733C0" w:rsidRDefault="0087570D" w:rsidP="0092542E">
      <w:pPr>
        <w:spacing w:after="0" w:line="240" w:lineRule="auto"/>
        <w:rPr>
          <w:rFonts w:cstheme="minorHAnsi"/>
        </w:rPr>
      </w:pPr>
    </w:p>
    <w:p w:rsidR="002A0CD5" w:rsidRPr="00E733C0" w:rsidRDefault="00EA1ACB" w:rsidP="0092542E">
      <w:pPr>
        <w:spacing w:after="0" w:line="240" w:lineRule="auto"/>
        <w:rPr>
          <w:rFonts w:cstheme="minorHAnsi"/>
        </w:rPr>
      </w:pPr>
      <w:r w:rsidRPr="00E733C0">
        <w:rPr>
          <w:rFonts w:cstheme="minorHAnsi"/>
        </w:rPr>
        <w:t xml:space="preserve">NPPF </w:t>
      </w:r>
      <w:r w:rsidR="002A0CD5" w:rsidRPr="00E733C0">
        <w:rPr>
          <w:rFonts w:cstheme="minorHAnsi"/>
        </w:rPr>
        <w:t>Para 143</w:t>
      </w:r>
      <w:r w:rsidRPr="00E733C0">
        <w:rPr>
          <w:rFonts w:cstheme="minorHAnsi"/>
        </w:rPr>
        <w:t xml:space="preserve"> states:</w:t>
      </w:r>
    </w:p>
    <w:p w:rsidR="002A0CD5" w:rsidRPr="001456B5" w:rsidRDefault="00EA1ACB" w:rsidP="0092542E">
      <w:pPr>
        <w:spacing w:after="0" w:line="240" w:lineRule="auto"/>
        <w:rPr>
          <w:i/>
          <w:iCs/>
        </w:rPr>
      </w:pPr>
      <w:r w:rsidRPr="001456B5">
        <w:rPr>
          <w:i/>
          <w:iCs/>
        </w:rPr>
        <w:t>‘</w:t>
      </w:r>
      <w:r w:rsidR="002A0CD5" w:rsidRPr="001456B5">
        <w:rPr>
          <w:i/>
          <w:iCs/>
        </w:rPr>
        <w:t xml:space="preserve">When defining Green Belt boundaries, plans should: </w:t>
      </w:r>
    </w:p>
    <w:p w:rsidR="002A0CD5" w:rsidRPr="001456B5" w:rsidRDefault="002A0CD5" w:rsidP="0092542E">
      <w:pPr>
        <w:spacing w:after="0" w:line="240" w:lineRule="auto"/>
        <w:rPr>
          <w:i/>
          <w:iCs/>
        </w:rPr>
      </w:pPr>
      <w:r w:rsidRPr="001456B5">
        <w:rPr>
          <w:b/>
          <w:bCs/>
          <w:i/>
          <w:iCs/>
        </w:rPr>
        <w:t>e) be able to demonstrate that Green Belt boundaries will not need to be altered at the end of the plan period</w:t>
      </w:r>
      <w:r w:rsidR="00EA1ACB" w:rsidRPr="001456B5">
        <w:rPr>
          <w:i/>
          <w:iCs/>
        </w:rPr>
        <w:t>’</w:t>
      </w:r>
    </w:p>
    <w:p w:rsidR="001456B5" w:rsidRDefault="001456B5" w:rsidP="0092542E">
      <w:pPr>
        <w:spacing w:after="0" w:line="240" w:lineRule="auto"/>
      </w:pPr>
    </w:p>
    <w:p w:rsidR="002A0CD5" w:rsidRDefault="00801918" w:rsidP="0092542E">
      <w:pPr>
        <w:spacing w:after="0" w:line="240" w:lineRule="auto"/>
      </w:pPr>
      <w:r w:rsidRPr="00E733C0">
        <w:t xml:space="preserve">There is no attempt to demonstrate, within the Draft Local Plan, that Green Belt boundaries would not need to be altered at the end of the plan period. If the Council’s argument is that ‘exceptional circumstances’ exist due to a suggested need to build more houses, this requirement will undoubtedly recur at the end of the plan period </w:t>
      </w:r>
      <w:r>
        <w:t xml:space="preserve">and the same argument would once again be put forward to release more land. </w:t>
      </w:r>
    </w:p>
    <w:p w:rsidR="00801918" w:rsidRDefault="00801918" w:rsidP="0092542E">
      <w:pPr>
        <w:spacing w:after="0" w:line="240" w:lineRule="auto"/>
      </w:pPr>
    </w:p>
    <w:p w:rsidR="00801918" w:rsidRDefault="00801918" w:rsidP="0092542E">
      <w:pPr>
        <w:spacing w:after="0" w:line="240" w:lineRule="auto"/>
      </w:pPr>
      <w:r>
        <w:t>This can be anticipated now, which means that the plan does not comply with para 143, above.</w:t>
      </w:r>
    </w:p>
    <w:p w:rsidR="00801918" w:rsidRDefault="00801918" w:rsidP="0092542E">
      <w:pPr>
        <w:spacing w:after="0" w:line="240" w:lineRule="auto"/>
      </w:pPr>
    </w:p>
    <w:p w:rsidR="00801918" w:rsidRDefault="00801918" w:rsidP="0092542E">
      <w:pPr>
        <w:spacing w:after="0" w:line="240" w:lineRule="auto"/>
      </w:pPr>
    </w:p>
    <w:p w:rsidR="00B37D1C" w:rsidRPr="004262A0" w:rsidRDefault="00B37D1C" w:rsidP="004262A0">
      <w:pPr>
        <w:pStyle w:val="ListParagraph"/>
        <w:numPr>
          <w:ilvl w:val="0"/>
          <w:numId w:val="14"/>
        </w:numPr>
        <w:spacing w:after="0" w:line="240" w:lineRule="auto"/>
        <w:rPr>
          <w:rFonts w:cstheme="minorHAnsi"/>
          <w:sz w:val="28"/>
          <w:szCs w:val="28"/>
        </w:rPr>
      </w:pPr>
      <w:r w:rsidRPr="004262A0">
        <w:rPr>
          <w:rFonts w:cstheme="minorHAnsi"/>
          <w:sz w:val="28"/>
          <w:szCs w:val="28"/>
        </w:rPr>
        <w:t>Conclusion</w:t>
      </w:r>
    </w:p>
    <w:p w:rsidR="004262A0" w:rsidRPr="004262A0" w:rsidRDefault="004262A0" w:rsidP="004262A0">
      <w:pPr>
        <w:spacing w:after="0" w:line="240" w:lineRule="auto"/>
        <w:rPr>
          <w:rFonts w:cstheme="minorHAnsi"/>
        </w:rPr>
      </w:pPr>
    </w:p>
    <w:p w:rsidR="002D6D95" w:rsidRDefault="00B37D1C" w:rsidP="00B37D1C">
      <w:r>
        <w:t xml:space="preserve">The Draft Local Plan </w:t>
      </w:r>
      <w:r w:rsidR="002D6D95">
        <w:t xml:space="preserve">does not attempt to demonstrate Very Special Circumstances for building on Greenbelt Land and instead argues for the altering of Greenbelt boundaries to free up land for development. </w:t>
      </w:r>
    </w:p>
    <w:p w:rsidR="002D6D95" w:rsidRDefault="004262A0" w:rsidP="00B37D1C">
      <w:r>
        <w:t>Altering Greenbelt boundaries to release land</w:t>
      </w:r>
      <w:r w:rsidR="002D6D95">
        <w:t xml:space="preserve"> requires demonstration of </w:t>
      </w:r>
      <w:r>
        <w:t>a lower threshold of ‘</w:t>
      </w:r>
      <w:r w:rsidR="002D6D95">
        <w:t>exceptional circumstances</w:t>
      </w:r>
      <w:r>
        <w:t>’</w:t>
      </w:r>
      <w:r w:rsidR="002D6D95">
        <w:t>.</w:t>
      </w:r>
    </w:p>
    <w:p w:rsidR="002D6D95" w:rsidRDefault="002D6D95" w:rsidP="00B37D1C">
      <w:r>
        <w:t>The supporting documents to the Draft Local Plan fail to</w:t>
      </w:r>
      <w:r w:rsidR="004262A0">
        <w:t xml:space="preserve"> meet the NPPF requirements required to demonstrate exceptional circumstances</w:t>
      </w:r>
      <w:r>
        <w:t>:</w:t>
      </w:r>
    </w:p>
    <w:p w:rsidR="002D6D95" w:rsidRPr="004262A0" w:rsidRDefault="002D6D95" w:rsidP="002D6D95">
      <w:pPr>
        <w:pStyle w:val="ListParagraph"/>
        <w:numPr>
          <w:ilvl w:val="0"/>
          <w:numId w:val="16"/>
        </w:numPr>
      </w:pPr>
      <w:r w:rsidRPr="004262A0">
        <w:t>examine fully all other reasonable options for meeting its identified need for development</w:t>
      </w:r>
      <w:r w:rsidRPr="004262A0">
        <w:t xml:space="preserve"> (NPPF 141)</w:t>
      </w:r>
      <w:r w:rsidR="004262A0">
        <w:t>;</w:t>
      </w:r>
    </w:p>
    <w:p w:rsidR="002D6D95" w:rsidRPr="004262A0" w:rsidRDefault="002D6D95" w:rsidP="002D6D95">
      <w:pPr>
        <w:pStyle w:val="ListParagraph"/>
        <w:numPr>
          <w:ilvl w:val="0"/>
          <w:numId w:val="16"/>
        </w:numPr>
      </w:pPr>
      <w:r w:rsidRPr="004262A0">
        <w:t>make as much use as possible of suitable brownfield sites and underutilised land</w:t>
      </w:r>
      <w:r w:rsidRPr="004262A0">
        <w:t xml:space="preserve"> </w:t>
      </w:r>
      <w:r w:rsidRPr="004262A0">
        <w:t>(NPPF 141)</w:t>
      </w:r>
      <w:r w:rsidR="004262A0">
        <w:t>;</w:t>
      </w:r>
    </w:p>
    <w:p w:rsidR="002D6D95" w:rsidRPr="004262A0" w:rsidRDefault="002D6D95" w:rsidP="002D6D95">
      <w:pPr>
        <w:pStyle w:val="ListParagraph"/>
        <w:numPr>
          <w:ilvl w:val="0"/>
          <w:numId w:val="16"/>
        </w:numPr>
      </w:pPr>
      <w:r w:rsidRPr="004262A0">
        <w:t>optimise the density of development</w:t>
      </w:r>
      <w:r w:rsidRPr="004262A0">
        <w:t xml:space="preserve"> </w:t>
      </w:r>
      <w:r w:rsidRPr="004262A0">
        <w:t>(NPPF 141)</w:t>
      </w:r>
      <w:r w:rsidR="004262A0">
        <w:t>;</w:t>
      </w:r>
    </w:p>
    <w:p w:rsidR="002D6D95" w:rsidRPr="004262A0" w:rsidRDefault="004262A0" w:rsidP="002D6D95">
      <w:pPr>
        <w:pStyle w:val="ListParagraph"/>
        <w:numPr>
          <w:ilvl w:val="0"/>
          <w:numId w:val="16"/>
        </w:numPr>
      </w:pPr>
      <w:r w:rsidRPr="004262A0">
        <w:t>fully evidence and justif</w:t>
      </w:r>
      <w:r w:rsidRPr="004262A0">
        <w:t xml:space="preserve">y </w:t>
      </w:r>
      <w:r w:rsidR="002D6D95" w:rsidRPr="004262A0">
        <w:t xml:space="preserve">exceptional circumstances </w:t>
      </w:r>
      <w:r w:rsidRPr="004262A0">
        <w:t>(NPPF 140)</w:t>
      </w:r>
      <w:r>
        <w:t>; and</w:t>
      </w:r>
    </w:p>
    <w:p w:rsidR="00EC7681" w:rsidRDefault="002D6D95" w:rsidP="00477F0D">
      <w:pPr>
        <w:pStyle w:val="ListParagraph"/>
        <w:numPr>
          <w:ilvl w:val="0"/>
          <w:numId w:val="16"/>
        </w:numPr>
      </w:pPr>
      <w:r w:rsidRPr="004262A0">
        <w:t>demonstrate that Green Belt boundaries will not need to be altered at the end of the plan period</w:t>
      </w:r>
      <w:r w:rsidR="004262A0">
        <w:t xml:space="preserve"> (NPPF 143).</w:t>
      </w:r>
    </w:p>
    <w:p w:rsidR="00EC7681" w:rsidRPr="00477508" w:rsidRDefault="00EC7681" w:rsidP="0087570D">
      <w:pPr>
        <w:spacing w:after="0" w:line="240" w:lineRule="auto"/>
        <w:rPr>
          <w:b/>
          <w:bCs/>
          <w:u w:val="single"/>
        </w:rPr>
      </w:pPr>
      <w:r w:rsidRPr="00477508">
        <w:rPr>
          <w:b/>
          <w:bCs/>
          <w:u w:val="single"/>
        </w:rPr>
        <w:lastRenderedPageBreak/>
        <w:t>Appendix 1: calculation of the proportion of the Greenbelt proposed to be developed under the Draft Local Plan</w:t>
      </w:r>
    </w:p>
    <w:p w:rsidR="00EC7681" w:rsidRDefault="00EC7681" w:rsidP="0087570D">
      <w:pPr>
        <w:spacing w:after="0" w:line="240" w:lineRule="auto"/>
      </w:pPr>
    </w:p>
    <w:p w:rsidR="00EC7681" w:rsidRDefault="00EC7681" w:rsidP="0087570D">
      <w:pPr>
        <w:spacing w:after="0" w:line="240" w:lineRule="auto"/>
      </w:pPr>
    </w:p>
    <w:p w:rsidR="00EC7681" w:rsidRDefault="00477508" w:rsidP="0087570D">
      <w:pPr>
        <w:spacing w:after="0" w:line="240" w:lineRule="auto"/>
      </w:pPr>
      <w:r w:rsidRPr="00477508">
        <w:rPr>
          <w:noProof/>
        </w:rPr>
        <w:drawing>
          <wp:inline distT="0" distB="0" distL="0" distR="0">
            <wp:extent cx="5731510" cy="60502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6050280"/>
                    </a:xfrm>
                    <a:prstGeom prst="rect">
                      <a:avLst/>
                    </a:prstGeom>
                    <a:noFill/>
                    <a:ln>
                      <a:noFill/>
                    </a:ln>
                  </pic:spPr>
                </pic:pic>
              </a:graphicData>
            </a:graphic>
          </wp:inline>
        </w:drawing>
      </w:r>
    </w:p>
    <w:p w:rsidR="00EC7681" w:rsidRDefault="00EC7681" w:rsidP="0087570D">
      <w:pPr>
        <w:spacing w:after="0" w:line="240" w:lineRule="auto"/>
      </w:pPr>
    </w:p>
    <w:p w:rsidR="00EC7681" w:rsidRPr="0087570D" w:rsidRDefault="00EC7681" w:rsidP="0087570D">
      <w:pPr>
        <w:spacing w:after="0" w:line="240" w:lineRule="auto"/>
      </w:pPr>
    </w:p>
    <w:sectPr w:rsidR="00EC7681" w:rsidRPr="0087570D">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7290" w:rsidRDefault="00B77290" w:rsidP="005A09A3">
      <w:pPr>
        <w:spacing w:after="0" w:line="240" w:lineRule="auto"/>
      </w:pPr>
      <w:r>
        <w:separator/>
      </w:r>
    </w:p>
  </w:endnote>
  <w:endnote w:type="continuationSeparator" w:id="0">
    <w:p w:rsidR="00B77290" w:rsidRDefault="00B77290" w:rsidP="005A09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8560911"/>
      <w:docPartObj>
        <w:docPartGallery w:val="Page Numbers (Bottom of Page)"/>
        <w:docPartUnique/>
      </w:docPartObj>
    </w:sdtPr>
    <w:sdtEndPr>
      <w:rPr>
        <w:noProof/>
      </w:rPr>
    </w:sdtEndPr>
    <w:sdtContent>
      <w:p w:rsidR="005A09A3" w:rsidRDefault="005A09A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A09A3" w:rsidRDefault="005A09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7290" w:rsidRDefault="00B77290" w:rsidP="005A09A3">
      <w:pPr>
        <w:spacing w:after="0" w:line="240" w:lineRule="auto"/>
      </w:pPr>
      <w:r>
        <w:separator/>
      </w:r>
    </w:p>
  </w:footnote>
  <w:footnote w:type="continuationSeparator" w:id="0">
    <w:p w:rsidR="00B77290" w:rsidRDefault="00B77290" w:rsidP="005A09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81E9A"/>
    <w:multiLevelType w:val="hybridMultilevel"/>
    <w:tmpl w:val="4E462DBE"/>
    <w:lvl w:ilvl="0" w:tplc="378682B4">
      <w:start w:val="3"/>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7551C5"/>
    <w:multiLevelType w:val="hybridMultilevel"/>
    <w:tmpl w:val="433E142C"/>
    <w:lvl w:ilvl="0" w:tplc="E57087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0681102"/>
    <w:multiLevelType w:val="hybridMultilevel"/>
    <w:tmpl w:val="34CA8D70"/>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26BB0AEE"/>
    <w:multiLevelType w:val="hybridMultilevel"/>
    <w:tmpl w:val="E74280C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8F566E8"/>
    <w:multiLevelType w:val="hybridMultilevel"/>
    <w:tmpl w:val="306C1A4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5FC3E9F"/>
    <w:multiLevelType w:val="hybridMultilevel"/>
    <w:tmpl w:val="D0CA76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B971A5"/>
    <w:multiLevelType w:val="hybridMultilevel"/>
    <w:tmpl w:val="43707C64"/>
    <w:lvl w:ilvl="0" w:tplc="E64E058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8527147"/>
    <w:multiLevelType w:val="hybridMultilevel"/>
    <w:tmpl w:val="87205D20"/>
    <w:lvl w:ilvl="0" w:tplc="FFFFFFFF">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F8170EB"/>
    <w:multiLevelType w:val="hybridMultilevel"/>
    <w:tmpl w:val="890E6A6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7E5C63"/>
    <w:multiLevelType w:val="hybridMultilevel"/>
    <w:tmpl w:val="442CCCF6"/>
    <w:lvl w:ilvl="0" w:tplc="72B88E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EC23A50"/>
    <w:multiLevelType w:val="hybridMultilevel"/>
    <w:tmpl w:val="BF20D4A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1F32FFE"/>
    <w:multiLevelType w:val="hybridMultilevel"/>
    <w:tmpl w:val="BB0C6B92"/>
    <w:lvl w:ilvl="0" w:tplc="378682B4">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9A0DCC"/>
    <w:multiLevelType w:val="hybridMultilevel"/>
    <w:tmpl w:val="EBA814FC"/>
    <w:lvl w:ilvl="0" w:tplc="5960483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AB236BC"/>
    <w:multiLevelType w:val="hybridMultilevel"/>
    <w:tmpl w:val="39306B6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6349B4"/>
    <w:multiLevelType w:val="hybridMultilevel"/>
    <w:tmpl w:val="426ECC38"/>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9074EB"/>
    <w:multiLevelType w:val="hybridMultilevel"/>
    <w:tmpl w:val="0E6A795E"/>
    <w:lvl w:ilvl="0" w:tplc="B8D44E16">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3122939">
    <w:abstractNumId w:val="1"/>
  </w:num>
  <w:num w:numId="2" w16cid:durableId="1926257997">
    <w:abstractNumId w:val="11"/>
  </w:num>
  <w:num w:numId="3" w16cid:durableId="166527168">
    <w:abstractNumId w:val="2"/>
  </w:num>
  <w:num w:numId="4" w16cid:durableId="1114204178">
    <w:abstractNumId w:val="9"/>
  </w:num>
  <w:num w:numId="5" w16cid:durableId="95176670">
    <w:abstractNumId w:val="12"/>
  </w:num>
  <w:num w:numId="6" w16cid:durableId="1210459365">
    <w:abstractNumId w:val="14"/>
  </w:num>
  <w:num w:numId="7" w16cid:durableId="597911974">
    <w:abstractNumId w:val="6"/>
  </w:num>
  <w:num w:numId="8" w16cid:durableId="1162160779">
    <w:abstractNumId w:val="15"/>
  </w:num>
  <w:num w:numId="9" w16cid:durableId="1214463229">
    <w:abstractNumId w:val="3"/>
  </w:num>
  <w:num w:numId="10" w16cid:durableId="1154948688">
    <w:abstractNumId w:val="0"/>
  </w:num>
  <w:num w:numId="11" w16cid:durableId="38551163">
    <w:abstractNumId w:val="7"/>
  </w:num>
  <w:num w:numId="12" w16cid:durableId="367609602">
    <w:abstractNumId w:val="5"/>
  </w:num>
  <w:num w:numId="13" w16cid:durableId="655114825">
    <w:abstractNumId w:val="13"/>
  </w:num>
  <w:num w:numId="14" w16cid:durableId="1288655759">
    <w:abstractNumId w:val="10"/>
  </w:num>
  <w:num w:numId="15" w16cid:durableId="1038967010">
    <w:abstractNumId w:val="4"/>
  </w:num>
  <w:num w:numId="16" w16cid:durableId="3235538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303"/>
    <w:rsid w:val="000B6FFF"/>
    <w:rsid w:val="000D0F24"/>
    <w:rsid w:val="000E22F8"/>
    <w:rsid w:val="000F023F"/>
    <w:rsid w:val="001456B5"/>
    <w:rsid w:val="002A0CD5"/>
    <w:rsid w:val="002D2830"/>
    <w:rsid w:val="002D6D95"/>
    <w:rsid w:val="002E5C59"/>
    <w:rsid w:val="002E7F1B"/>
    <w:rsid w:val="00341295"/>
    <w:rsid w:val="0037587D"/>
    <w:rsid w:val="003A5DC3"/>
    <w:rsid w:val="004164BE"/>
    <w:rsid w:val="004262A0"/>
    <w:rsid w:val="0044180B"/>
    <w:rsid w:val="00477508"/>
    <w:rsid w:val="00483D1F"/>
    <w:rsid w:val="00495914"/>
    <w:rsid w:val="004A0D1D"/>
    <w:rsid w:val="004A12DD"/>
    <w:rsid w:val="004A5421"/>
    <w:rsid w:val="004E6D61"/>
    <w:rsid w:val="005229DB"/>
    <w:rsid w:val="00591448"/>
    <w:rsid w:val="005A09A3"/>
    <w:rsid w:val="005B48BA"/>
    <w:rsid w:val="00694A45"/>
    <w:rsid w:val="006A1B7C"/>
    <w:rsid w:val="006B6A0E"/>
    <w:rsid w:val="006D624B"/>
    <w:rsid w:val="006E51E4"/>
    <w:rsid w:val="007319F5"/>
    <w:rsid w:val="0074609B"/>
    <w:rsid w:val="00790109"/>
    <w:rsid w:val="007E54F0"/>
    <w:rsid w:val="00801918"/>
    <w:rsid w:val="00816970"/>
    <w:rsid w:val="00822D38"/>
    <w:rsid w:val="0087570D"/>
    <w:rsid w:val="008D5EF7"/>
    <w:rsid w:val="008F2997"/>
    <w:rsid w:val="0092542E"/>
    <w:rsid w:val="00945820"/>
    <w:rsid w:val="009D6BB3"/>
    <w:rsid w:val="009D7D5A"/>
    <w:rsid w:val="00A95A06"/>
    <w:rsid w:val="00AA71C2"/>
    <w:rsid w:val="00AE34A6"/>
    <w:rsid w:val="00AF0299"/>
    <w:rsid w:val="00B37D1C"/>
    <w:rsid w:val="00B535E6"/>
    <w:rsid w:val="00B556DD"/>
    <w:rsid w:val="00B60E38"/>
    <w:rsid w:val="00B77290"/>
    <w:rsid w:val="00B87503"/>
    <w:rsid w:val="00BA4533"/>
    <w:rsid w:val="00BE2F9E"/>
    <w:rsid w:val="00C6721E"/>
    <w:rsid w:val="00CE41DC"/>
    <w:rsid w:val="00CF69BF"/>
    <w:rsid w:val="00D078FB"/>
    <w:rsid w:val="00D17A77"/>
    <w:rsid w:val="00D4587C"/>
    <w:rsid w:val="00E46490"/>
    <w:rsid w:val="00E5359D"/>
    <w:rsid w:val="00E70303"/>
    <w:rsid w:val="00E714FD"/>
    <w:rsid w:val="00E733C0"/>
    <w:rsid w:val="00E9060D"/>
    <w:rsid w:val="00EA1ACB"/>
    <w:rsid w:val="00EB6BC2"/>
    <w:rsid w:val="00EC4353"/>
    <w:rsid w:val="00EC7681"/>
    <w:rsid w:val="00F5240B"/>
    <w:rsid w:val="00F82567"/>
    <w:rsid w:val="00F93052"/>
    <w:rsid w:val="00FC7547"/>
    <w:rsid w:val="00FD05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BF59F"/>
  <w15:chartTrackingRefBased/>
  <w15:docId w15:val="{66DB0C30-7EA4-4CED-A2A8-D78CCBBD3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BB3"/>
  </w:style>
  <w:style w:type="paragraph" w:styleId="Heading2">
    <w:name w:val="heading 2"/>
    <w:basedOn w:val="Normal"/>
    <w:link w:val="Heading2Char"/>
    <w:uiPriority w:val="9"/>
    <w:qFormat/>
    <w:rsid w:val="000E22F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B60E3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0303"/>
    <w:pPr>
      <w:ind w:left="720"/>
      <w:contextualSpacing/>
    </w:pPr>
  </w:style>
  <w:style w:type="character" w:customStyle="1" w:styleId="Heading2Char">
    <w:name w:val="Heading 2 Char"/>
    <w:basedOn w:val="DefaultParagraphFont"/>
    <w:link w:val="Heading2"/>
    <w:uiPriority w:val="9"/>
    <w:rsid w:val="000E22F8"/>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0E22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9D6BB3"/>
    <w:rPr>
      <w:color w:val="0000FF"/>
      <w:u w:val="single"/>
    </w:rPr>
  </w:style>
  <w:style w:type="paragraph" w:styleId="Header">
    <w:name w:val="header"/>
    <w:basedOn w:val="Normal"/>
    <w:link w:val="HeaderChar"/>
    <w:uiPriority w:val="99"/>
    <w:unhideWhenUsed/>
    <w:rsid w:val="005A09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09A3"/>
  </w:style>
  <w:style w:type="paragraph" w:styleId="Footer">
    <w:name w:val="footer"/>
    <w:basedOn w:val="Normal"/>
    <w:link w:val="FooterChar"/>
    <w:uiPriority w:val="99"/>
    <w:unhideWhenUsed/>
    <w:rsid w:val="005A09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09A3"/>
  </w:style>
  <w:style w:type="character" w:customStyle="1" w:styleId="Heading3Char">
    <w:name w:val="Heading 3 Char"/>
    <w:basedOn w:val="DefaultParagraphFont"/>
    <w:link w:val="Heading3"/>
    <w:uiPriority w:val="9"/>
    <w:semiHidden/>
    <w:rsid w:val="00B60E3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469478">
      <w:bodyDiv w:val="1"/>
      <w:marLeft w:val="0"/>
      <w:marRight w:val="0"/>
      <w:marTop w:val="0"/>
      <w:marBottom w:val="0"/>
      <w:divBdr>
        <w:top w:val="none" w:sz="0" w:space="0" w:color="auto"/>
        <w:left w:val="none" w:sz="0" w:space="0" w:color="auto"/>
        <w:bottom w:val="none" w:sz="0" w:space="0" w:color="auto"/>
        <w:right w:val="none" w:sz="0" w:space="0" w:color="auto"/>
      </w:divBdr>
    </w:div>
    <w:div w:id="1253582460">
      <w:bodyDiv w:val="1"/>
      <w:marLeft w:val="0"/>
      <w:marRight w:val="0"/>
      <w:marTop w:val="0"/>
      <w:marBottom w:val="0"/>
      <w:divBdr>
        <w:top w:val="none" w:sz="0" w:space="0" w:color="auto"/>
        <w:left w:val="none" w:sz="0" w:space="0" w:color="auto"/>
        <w:bottom w:val="none" w:sz="0" w:space="0" w:color="auto"/>
        <w:right w:val="none" w:sz="0" w:space="0" w:color="auto"/>
      </w:divBdr>
    </w:div>
    <w:div w:id="1261182537">
      <w:bodyDiv w:val="1"/>
      <w:marLeft w:val="0"/>
      <w:marRight w:val="0"/>
      <w:marTop w:val="0"/>
      <w:marBottom w:val="0"/>
      <w:divBdr>
        <w:top w:val="none" w:sz="0" w:space="0" w:color="auto"/>
        <w:left w:val="none" w:sz="0" w:space="0" w:color="auto"/>
        <w:bottom w:val="none" w:sz="0" w:space="0" w:color="auto"/>
        <w:right w:val="none" w:sz="0" w:space="0" w:color="auto"/>
      </w:divBdr>
    </w:div>
    <w:div w:id="1277640201">
      <w:bodyDiv w:val="1"/>
      <w:marLeft w:val="0"/>
      <w:marRight w:val="0"/>
      <w:marTop w:val="0"/>
      <w:marBottom w:val="0"/>
      <w:divBdr>
        <w:top w:val="none" w:sz="0" w:space="0" w:color="auto"/>
        <w:left w:val="none" w:sz="0" w:space="0" w:color="auto"/>
        <w:bottom w:val="none" w:sz="0" w:space="0" w:color="auto"/>
        <w:right w:val="none" w:sz="0" w:space="0" w:color="auto"/>
      </w:divBdr>
    </w:div>
    <w:div w:id="1572695403">
      <w:bodyDiv w:val="1"/>
      <w:marLeft w:val="0"/>
      <w:marRight w:val="0"/>
      <w:marTop w:val="0"/>
      <w:marBottom w:val="0"/>
      <w:divBdr>
        <w:top w:val="none" w:sz="0" w:space="0" w:color="auto"/>
        <w:left w:val="none" w:sz="0" w:space="0" w:color="auto"/>
        <w:bottom w:val="none" w:sz="0" w:space="0" w:color="auto"/>
        <w:right w:val="none" w:sz="0" w:space="0" w:color="auto"/>
      </w:divBdr>
    </w:div>
    <w:div w:id="188011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usinglin.org.uk/_assets/Resources/Housing/Policy_documents/PPS3.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uk/government/publications/national-planning-policy-framework--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s://www.epsom-ewell.gov.uk/sites/default/files/documents/residents/planning/Biodiversity%20and%20Planning%20in%20Epsom%202015%20updat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8</Pages>
  <Words>2889</Words>
  <Characters>16468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Duval</dc:creator>
  <cp:keywords/>
  <dc:description/>
  <cp:lastModifiedBy>Vikki Hoggins</cp:lastModifiedBy>
  <cp:revision>13</cp:revision>
  <dcterms:created xsi:type="dcterms:W3CDTF">2023-03-02T00:53:00Z</dcterms:created>
  <dcterms:modified xsi:type="dcterms:W3CDTF">2023-03-20T18:20:00Z</dcterms:modified>
</cp:coreProperties>
</file>