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CB2500" w14:textId="77777777" w:rsidR="00006075" w:rsidRPr="00006075" w:rsidRDefault="00006075" w:rsidP="00006075">
      <w:pPr>
        <w:shd w:val="clear" w:color="auto" w:fill="FCFCFC"/>
        <w:spacing w:after="0" w:line="240" w:lineRule="auto"/>
        <w:textAlignment w:val="baseline"/>
        <w:rPr>
          <w:rFonts w:eastAsia="Times New Roman" w:cstheme="minorHAnsi"/>
          <w:b/>
          <w:bCs/>
          <w:color w:val="333333"/>
          <w:u w:val="single"/>
          <w:lang w:eastAsia="en-GB"/>
        </w:rPr>
      </w:pPr>
      <w:r w:rsidRPr="00006075">
        <w:rPr>
          <w:rFonts w:eastAsia="Times New Roman" w:cstheme="minorHAnsi"/>
          <w:b/>
          <w:bCs/>
          <w:color w:val="333333"/>
          <w:u w:val="single"/>
          <w:lang w:eastAsia="en-GB"/>
        </w:rPr>
        <w:t>Land Availability Assessment</w:t>
      </w:r>
    </w:p>
    <w:p w14:paraId="0F575C27" w14:textId="77777777" w:rsidR="00006075" w:rsidRDefault="00006075" w:rsidP="00006075">
      <w:pPr>
        <w:shd w:val="clear" w:color="auto" w:fill="FCFCFC"/>
        <w:spacing w:after="0" w:line="240" w:lineRule="auto"/>
        <w:textAlignment w:val="baseline"/>
        <w:rPr>
          <w:rFonts w:eastAsia="Times New Roman" w:cstheme="minorHAnsi"/>
          <w:color w:val="333333"/>
          <w:lang w:eastAsia="en-GB"/>
        </w:rPr>
      </w:pPr>
    </w:p>
    <w:p w14:paraId="2576EDE8" w14:textId="77777777" w:rsidR="00006075" w:rsidRDefault="00006075" w:rsidP="00006075">
      <w:pPr>
        <w:shd w:val="clear" w:color="auto" w:fill="FCFCFC"/>
        <w:spacing w:after="0" w:line="240" w:lineRule="auto"/>
        <w:textAlignment w:val="baseline"/>
        <w:rPr>
          <w:rFonts w:eastAsia="Times New Roman" w:cstheme="minorHAnsi"/>
          <w:color w:val="333333"/>
          <w:lang w:eastAsia="en-GB"/>
        </w:rPr>
      </w:pPr>
      <w:r>
        <w:rPr>
          <w:rFonts w:eastAsia="Times New Roman" w:cstheme="minorHAnsi"/>
          <w:color w:val="333333"/>
          <w:lang w:eastAsia="en-GB"/>
        </w:rPr>
        <w:t>Para 141 of the NPPF states:</w:t>
      </w:r>
    </w:p>
    <w:p w14:paraId="5E91976D" w14:textId="77777777" w:rsidR="00006075" w:rsidRPr="002A0CD5" w:rsidRDefault="00006075" w:rsidP="00006075">
      <w:pPr>
        <w:shd w:val="clear" w:color="auto" w:fill="FCFCFC"/>
        <w:spacing w:after="0" w:line="240" w:lineRule="auto"/>
        <w:textAlignment w:val="baseline"/>
        <w:rPr>
          <w:i/>
          <w:iCs/>
        </w:rPr>
      </w:pPr>
      <w:r w:rsidRPr="002A0CD5">
        <w:rPr>
          <w:rFonts w:eastAsia="Times New Roman" w:cstheme="minorHAnsi"/>
          <w:i/>
          <w:iCs/>
          <w:color w:val="333333"/>
          <w:lang w:eastAsia="en-GB"/>
        </w:rPr>
        <w:t>‘</w:t>
      </w:r>
      <w:r w:rsidRPr="002A0CD5">
        <w:rPr>
          <w:i/>
          <w:iCs/>
        </w:rPr>
        <w:t xml:space="preserve">Before concluding that exceptional circumstances exist to justify changes to Green Belt boundaries, the strategic policy-making authority should be able to demonstrate that it has </w:t>
      </w:r>
      <w:r w:rsidRPr="00AF0299">
        <w:rPr>
          <w:b/>
          <w:bCs/>
          <w:i/>
          <w:iCs/>
        </w:rPr>
        <w:t>examined fully all other reasonable options for meeting its identified need for development</w:t>
      </w:r>
      <w:r w:rsidRPr="002A0CD5">
        <w:rPr>
          <w:i/>
          <w:iCs/>
        </w:rPr>
        <w:t xml:space="preserve">. This will be assessed through the examination of its strategic policies, which will take into account the preceding paragraph, and whether the strategy: </w:t>
      </w:r>
    </w:p>
    <w:p w14:paraId="126B08A4" w14:textId="77777777" w:rsidR="00006075" w:rsidRPr="00AF0299" w:rsidRDefault="00006075" w:rsidP="00006075">
      <w:pPr>
        <w:shd w:val="clear" w:color="auto" w:fill="FCFCFC"/>
        <w:spacing w:after="0" w:line="240" w:lineRule="auto"/>
        <w:textAlignment w:val="baseline"/>
        <w:rPr>
          <w:b/>
          <w:bCs/>
          <w:i/>
          <w:iCs/>
        </w:rPr>
      </w:pPr>
      <w:r w:rsidRPr="00AF0299">
        <w:rPr>
          <w:b/>
          <w:bCs/>
          <w:i/>
          <w:iCs/>
        </w:rPr>
        <w:t xml:space="preserve">a) makes as much use as possible of suitable brownfield sites and underutilised land; </w:t>
      </w:r>
    </w:p>
    <w:p w14:paraId="2F373F77" w14:textId="77777777" w:rsidR="00006075" w:rsidRPr="00AF0299" w:rsidRDefault="00006075" w:rsidP="00006075">
      <w:pPr>
        <w:shd w:val="clear" w:color="auto" w:fill="FCFCFC"/>
        <w:spacing w:after="0" w:line="240" w:lineRule="auto"/>
        <w:textAlignment w:val="baseline"/>
        <w:rPr>
          <w:b/>
          <w:bCs/>
          <w:i/>
          <w:iCs/>
        </w:rPr>
      </w:pPr>
      <w:r w:rsidRPr="00AF0299">
        <w:rPr>
          <w:b/>
          <w:bCs/>
          <w:i/>
          <w:iCs/>
        </w:rPr>
        <w:t xml:space="preserve">b) optimises the density of development in line with the policies in chapter 11 of this Framework, including whether policies promote a significant uplift in minimum density standards in town and city centres and other locations well served by public transport; and </w:t>
      </w:r>
    </w:p>
    <w:p w14:paraId="758A816F" w14:textId="77777777" w:rsidR="00006075" w:rsidRPr="002A0CD5" w:rsidRDefault="00006075" w:rsidP="00006075">
      <w:pPr>
        <w:shd w:val="clear" w:color="auto" w:fill="FCFCFC"/>
        <w:spacing w:after="0" w:line="240" w:lineRule="auto"/>
        <w:textAlignment w:val="baseline"/>
        <w:rPr>
          <w:rFonts w:eastAsia="Times New Roman" w:cstheme="minorHAnsi"/>
          <w:i/>
          <w:iCs/>
          <w:color w:val="333333"/>
          <w:lang w:eastAsia="en-GB"/>
        </w:rPr>
      </w:pPr>
      <w:r w:rsidRPr="002A0CD5">
        <w:rPr>
          <w:i/>
          <w:iCs/>
        </w:rPr>
        <w:t>c) has been informed by discussions with neighbouring authorities about whether they could accommodate some of the identified need for development, as demonstrated through the statement of common ground.’</w:t>
      </w:r>
    </w:p>
    <w:p w14:paraId="5D946AEB"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21D6B348"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44A898F0" w14:textId="77777777" w:rsidR="00006075" w:rsidRPr="0092542E" w:rsidRDefault="00006075" w:rsidP="00006075">
      <w:pPr>
        <w:pStyle w:val="NormalWeb"/>
        <w:numPr>
          <w:ilvl w:val="0"/>
          <w:numId w:val="1"/>
        </w:numPr>
        <w:shd w:val="clear" w:color="auto" w:fill="FFFFFF"/>
        <w:spacing w:before="0" w:beforeAutospacing="0" w:after="0" w:afterAutospacing="0"/>
        <w:rPr>
          <w:rFonts w:asciiTheme="minorHAnsi" w:hAnsiTheme="minorHAnsi" w:cstheme="minorHAnsi"/>
          <w:color w:val="333333"/>
          <w:sz w:val="22"/>
          <w:szCs w:val="22"/>
        </w:rPr>
      </w:pPr>
      <w:r>
        <w:rPr>
          <w:rFonts w:asciiTheme="minorHAnsi" w:hAnsiTheme="minorHAnsi" w:cstheme="minorHAnsi"/>
          <w:color w:val="333333"/>
          <w:sz w:val="22"/>
          <w:szCs w:val="22"/>
        </w:rPr>
        <w:t>Assessment of the compliance with the NPPF para 141 r</w:t>
      </w:r>
      <w:r w:rsidRPr="0092542E">
        <w:rPr>
          <w:rFonts w:asciiTheme="minorHAnsi" w:hAnsiTheme="minorHAnsi" w:cstheme="minorHAnsi"/>
          <w:color w:val="333333"/>
          <w:sz w:val="22"/>
          <w:szCs w:val="22"/>
        </w:rPr>
        <w:t>equirement to ‘</w:t>
      </w:r>
      <w:r w:rsidRPr="0092542E">
        <w:rPr>
          <w:rFonts w:asciiTheme="minorHAnsi" w:hAnsiTheme="minorHAnsi" w:cstheme="minorHAnsi"/>
          <w:b/>
          <w:bCs/>
          <w:sz w:val="22"/>
          <w:szCs w:val="22"/>
          <w:u w:val="single"/>
        </w:rPr>
        <w:t>examine fully all other reasonable options for meeting its identified need for development’</w:t>
      </w:r>
    </w:p>
    <w:p w14:paraId="1300097B" w14:textId="77777777" w:rsidR="00006075"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03786271" w14:textId="77777777" w:rsidR="00006075"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3C6549B7" w14:textId="77777777" w:rsidR="00006075" w:rsidRDefault="00006075" w:rsidP="00006075">
      <w:pPr>
        <w:pStyle w:val="NormalWeb"/>
        <w:numPr>
          <w:ilvl w:val="0"/>
          <w:numId w:val="3"/>
        </w:numPr>
        <w:shd w:val="clear" w:color="auto" w:fill="FFFFFF"/>
        <w:spacing w:before="0" w:beforeAutospacing="0" w:after="0" w:afterAutospacing="0"/>
        <w:rPr>
          <w:rFonts w:asciiTheme="minorHAnsi" w:hAnsiTheme="minorHAnsi" w:cstheme="minorHAnsi"/>
          <w:color w:val="333333"/>
          <w:sz w:val="22"/>
          <w:szCs w:val="22"/>
        </w:rPr>
      </w:pPr>
      <w:r>
        <w:rPr>
          <w:rFonts w:asciiTheme="minorHAnsi" w:hAnsiTheme="minorHAnsi" w:cstheme="minorHAnsi"/>
          <w:color w:val="333333"/>
          <w:sz w:val="22"/>
          <w:szCs w:val="22"/>
        </w:rPr>
        <w:t>Land availability assessment</w:t>
      </w:r>
    </w:p>
    <w:p w14:paraId="14C9C1F5" w14:textId="77777777" w:rsidR="00006075"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1B228AA1" w14:textId="77777777" w:rsidR="00006075"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r>
        <w:rPr>
          <w:rFonts w:asciiTheme="minorHAnsi" w:hAnsiTheme="minorHAnsi" w:cstheme="minorHAnsi"/>
          <w:color w:val="333333"/>
          <w:sz w:val="22"/>
          <w:szCs w:val="22"/>
        </w:rPr>
        <w:t xml:space="preserve">One of the numerous actions which must be undertaken to demonstrate compliance with the NPPF para 141 obligations is through the comprehensive assessment of available land. </w:t>
      </w:r>
    </w:p>
    <w:p w14:paraId="172D05ED" w14:textId="77777777" w:rsidR="00006075"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35491ADB" w14:textId="77777777" w:rsidR="00006075"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r>
        <w:rPr>
          <w:rFonts w:asciiTheme="minorHAnsi" w:hAnsiTheme="minorHAnsi" w:cstheme="minorHAnsi"/>
          <w:color w:val="333333"/>
          <w:sz w:val="22"/>
          <w:szCs w:val="22"/>
        </w:rPr>
        <w:t xml:space="preserve">The government has set out </w:t>
      </w:r>
      <w:r w:rsidRPr="00BE2F9E">
        <w:rPr>
          <w:rFonts w:asciiTheme="minorHAnsi" w:hAnsiTheme="minorHAnsi" w:cstheme="minorHAnsi"/>
          <w:color w:val="333333"/>
          <w:sz w:val="22"/>
          <w:szCs w:val="22"/>
        </w:rPr>
        <w:t>a method for assessing housing and economic land availability</w:t>
      </w:r>
      <w:r>
        <w:rPr>
          <w:rFonts w:asciiTheme="minorHAnsi" w:hAnsiTheme="minorHAnsi" w:cstheme="minorHAnsi"/>
          <w:color w:val="333333"/>
          <w:sz w:val="22"/>
          <w:szCs w:val="22"/>
        </w:rPr>
        <w:t>, which is available from this link:</w:t>
      </w:r>
    </w:p>
    <w:p w14:paraId="50982185"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774ABC9C" w14:textId="77777777" w:rsidR="00006075" w:rsidRDefault="00000000" w:rsidP="00006075">
      <w:pPr>
        <w:pStyle w:val="NormalWeb"/>
        <w:shd w:val="clear" w:color="auto" w:fill="FFFFFF"/>
        <w:spacing w:before="0" w:beforeAutospacing="0" w:after="0" w:afterAutospacing="0"/>
        <w:rPr>
          <w:rFonts w:asciiTheme="minorHAnsi" w:hAnsiTheme="minorHAnsi" w:cstheme="minorHAnsi"/>
          <w:color w:val="333333"/>
          <w:sz w:val="22"/>
          <w:szCs w:val="22"/>
        </w:rPr>
      </w:pPr>
      <w:hyperlink r:id="rId5" w:history="1">
        <w:r w:rsidR="00006075">
          <w:rPr>
            <w:rStyle w:val="Hyperlink"/>
          </w:rPr>
          <w:t>Housing and economic land availability assessment - GOV.UK (www.gov.uk)</w:t>
        </w:r>
      </w:hyperlink>
    </w:p>
    <w:p w14:paraId="0932AFF3" w14:textId="77777777" w:rsidR="00006075"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r>
        <w:rPr>
          <w:rFonts w:asciiTheme="minorHAnsi" w:hAnsiTheme="minorHAnsi" w:cstheme="minorHAnsi"/>
          <w:color w:val="333333"/>
          <w:sz w:val="22"/>
          <w:szCs w:val="22"/>
        </w:rPr>
        <w:t>(‘HELAA’)</w:t>
      </w:r>
    </w:p>
    <w:p w14:paraId="7894B9BE" w14:textId="77777777" w:rsidR="00006075"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7CA69E43" w14:textId="77777777" w:rsidR="00006075" w:rsidRPr="00B60E38" w:rsidRDefault="00006075" w:rsidP="00006075">
      <w:pPr>
        <w:pStyle w:val="NormalWeb"/>
        <w:shd w:val="clear" w:color="auto" w:fill="FFFFFF"/>
        <w:spacing w:before="0" w:beforeAutospacing="0" w:after="0" w:afterAutospacing="0"/>
        <w:rPr>
          <w:rFonts w:asciiTheme="minorHAnsi" w:hAnsiTheme="minorHAnsi" w:cstheme="minorHAnsi"/>
          <w:b/>
          <w:bCs/>
          <w:i/>
          <w:iCs/>
          <w:color w:val="333333"/>
          <w:sz w:val="22"/>
          <w:szCs w:val="22"/>
        </w:rPr>
      </w:pPr>
      <w:r w:rsidRPr="00B60E38">
        <w:rPr>
          <w:rFonts w:asciiTheme="minorHAnsi" w:hAnsiTheme="minorHAnsi" w:cstheme="minorHAnsi"/>
          <w:b/>
          <w:bCs/>
          <w:i/>
          <w:iCs/>
          <w:color w:val="333333"/>
          <w:sz w:val="22"/>
          <w:szCs w:val="22"/>
        </w:rPr>
        <w:t>‘Para 2: Should plan-makers override constraints, such as Green Belt, when carrying out the assessment to meet identified needs?</w:t>
      </w:r>
    </w:p>
    <w:p w14:paraId="1F127471" w14:textId="77777777" w:rsidR="00006075" w:rsidRPr="00B60E38" w:rsidRDefault="00006075" w:rsidP="00006075">
      <w:pPr>
        <w:pStyle w:val="NormalWeb"/>
        <w:shd w:val="clear" w:color="auto" w:fill="FFFFFF"/>
        <w:spacing w:before="0" w:beforeAutospacing="0" w:after="0" w:afterAutospacing="0"/>
        <w:rPr>
          <w:rFonts w:asciiTheme="minorHAnsi" w:hAnsiTheme="minorHAnsi" w:cstheme="minorHAnsi"/>
          <w:i/>
          <w:iCs/>
          <w:color w:val="333333"/>
          <w:sz w:val="22"/>
          <w:szCs w:val="22"/>
        </w:rPr>
      </w:pPr>
      <w:r w:rsidRPr="00B60E38">
        <w:rPr>
          <w:rFonts w:asciiTheme="minorHAnsi" w:hAnsiTheme="minorHAnsi" w:cstheme="minorHAnsi"/>
          <w:i/>
          <w:iCs/>
          <w:color w:val="333333"/>
          <w:sz w:val="22"/>
          <w:szCs w:val="22"/>
        </w:rPr>
        <w:t xml:space="preserve">Plan-making bodies </w:t>
      </w:r>
      <w:r w:rsidRPr="00B60E38">
        <w:rPr>
          <w:rFonts w:asciiTheme="minorHAnsi" w:hAnsiTheme="minorHAnsi" w:cstheme="minorHAnsi"/>
          <w:i/>
          <w:iCs/>
          <w:color w:val="333333"/>
          <w:sz w:val="22"/>
          <w:szCs w:val="22"/>
          <w:u w:val="single"/>
        </w:rPr>
        <w:t>should consider constraints</w:t>
      </w:r>
      <w:r w:rsidRPr="00B60E38">
        <w:rPr>
          <w:rFonts w:asciiTheme="minorHAnsi" w:hAnsiTheme="minorHAnsi" w:cstheme="minorHAnsi"/>
          <w:i/>
          <w:iCs/>
          <w:color w:val="333333"/>
          <w:sz w:val="22"/>
          <w:szCs w:val="22"/>
        </w:rPr>
        <w:t xml:space="preserve"> when assessing the suitability, availability and achievability of sites and broad locations. For example, assessments should reflect the policies in footnote 6 of the National Planning Policy Framework, which sets out the areas where the Framework would provide strong reasons for restricting the overall scale, type or distribution of development in the plan area (</w:t>
      </w:r>
      <w:r w:rsidRPr="00B60E38">
        <w:rPr>
          <w:rFonts w:asciiTheme="minorHAnsi" w:hAnsiTheme="minorHAnsi" w:cstheme="minorHAnsi"/>
          <w:i/>
          <w:iCs/>
          <w:color w:val="333333"/>
          <w:sz w:val="22"/>
          <w:szCs w:val="22"/>
          <w:u w:val="single"/>
        </w:rPr>
        <w:t>such as the Green Belt and other protected areas</w:t>
      </w:r>
      <w:r w:rsidRPr="00B60E38">
        <w:rPr>
          <w:rFonts w:asciiTheme="minorHAnsi" w:hAnsiTheme="minorHAnsi" w:cstheme="minorHAnsi"/>
          <w:i/>
          <w:iCs/>
          <w:color w:val="333333"/>
          <w:sz w:val="22"/>
          <w:szCs w:val="22"/>
        </w:rPr>
        <w:t>).’</w:t>
      </w:r>
    </w:p>
    <w:p w14:paraId="2209CF85" w14:textId="77777777" w:rsidR="00006075"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6D6AEB31" w14:textId="77777777" w:rsidR="00006075" w:rsidRPr="00B60E38" w:rsidRDefault="00006075" w:rsidP="00006075">
      <w:pPr>
        <w:pStyle w:val="NormalWeb"/>
        <w:shd w:val="clear" w:color="auto" w:fill="FFFFFF"/>
        <w:spacing w:before="0" w:beforeAutospacing="0" w:after="0" w:afterAutospacing="0"/>
        <w:rPr>
          <w:rFonts w:asciiTheme="minorHAnsi" w:hAnsiTheme="minorHAnsi" w:cstheme="minorHAnsi"/>
          <w:b/>
          <w:bCs/>
          <w:i/>
          <w:iCs/>
          <w:color w:val="333333"/>
          <w:sz w:val="22"/>
          <w:szCs w:val="22"/>
        </w:rPr>
      </w:pPr>
      <w:r w:rsidRPr="00B60E38">
        <w:rPr>
          <w:rFonts w:asciiTheme="minorHAnsi" w:hAnsiTheme="minorHAnsi" w:cstheme="minorHAnsi"/>
          <w:b/>
          <w:bCs/>
          <w:i/>
          <w:iCs/>
          <w:color w:val="333333"/>
          <w:sz w:val="22"/>
          <w:szCs w:val="22"/>
        </w:rPr>
        <w:t>‘Para 8: Can the assessment be constrained by the need for development?</w:t>
      </w:r>
    </w:p>
    <w:p w14:paraId="39CDBAC0" w14:textId="77777777" w:rsidR="00006075" w:rsidRPr="00B60E38" w:rsidRDefault="00006075" w:rsidP="00006075">
      <w:pPr>
        <w:pStyle w:val="NormalWeb"/>
        <w:shd w:val="clear" w:color="auto" w:fill="FFFFFF"/>
        <w:spacing w:before="0" w:beforeAutospacing="0" w:after="0" w:afterAutospacing="0"/>
        <w:rPr>
          <w:rFonts w:asciiTheme="minorHAnsi" w:hAnsiTheme="minorHAnsi" w:cstheme="minorHAnsi"/>
          <w:i/>
          <w:iCs/>
          <w:color w:val="333333"/>
          <w:sz w:val="22"/>
          <w:szCs w:val="22"/>
        </w:rPr>
      </w:pPr>
      <w:r w:rsidRPr="00B60E38">
        <w:rPr>
          <w:rFonts w:asciiTheme="minorHAnsi" w:hAnsiTheme="minorHAnsi" w:cstheme="minorHAnsi"/>
          <w:i/>
          <w:iCs/>
          <w:color w:val="333333"/>
          <w:sz w:val="22"/>
          <w:szCs w:val="22"/>
          <w:u w:val="single"/>
        </w:rPr>
        <w:t>The assessment needs to identify all sites and broad locations (regardless of the amount of development needed) in order to provide a complete audit of available land.</w:t>
      </w:r>
      <w:r w:rsidRPr="00B60E38">
        <w:rPr>
          <w:rFonts w:asciiTheme="minorHAnsi" w:hAnsiTheme="minorHAnsi" w:cstheme="minorHAnsi"/>
          <w:i/>
          <w:iCs/>
          <w:color w:val="333333"/>
          <w:sz w:val="22"/>
          <w:szCs w:val="22"/>
        </w:rPr>
        <w:t xml:space="preserve"> The process of the assessment will, however, provide the information to enable an identification of sites and locations that are most suitable for the level of development required.</w:t>
      </w:r>
      <w:r>
        <w:rPr>
          <w:rFonts w:asciiTheme="minorHAnsi" w:hAnsiTheme="minorHAnsi" w:cstheme="minorHAnsi"/>
          <w:i/>
          <w:iCs/>
          <w:color w:val="333333"/>
          <w:sz w:val="22"/>
          <w:szCs w:val="22"/>
        </w:rPr>
        <w:t>’</w:t>
      </w:r>
    </w:p>
    <w:p w14:paraId="24822CA5" w14:textId="77777777" w:rsidR="00006075"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30F78810" w14:textId="77777777" w:rsidR="00006075" w:rsidRPr="002E5C59" w:rsidRDefault="00006075" w:rsidP="00006075">
      <w:pPr>
        <w:pStyle w:val="NormalWeb"/>
        <w:shd w:val="clear" w:color="auto" w:fill="FFFFFF"/>
        <w:spacing w:before="0" w:beforeAutospacing="0" w:after="0" w:afterAutospacing="0"/>
        <w:rPr>
          <w:rFonts w:asciiTheme="minorHAnsi" w:hAnsiTheme="minorHAnsi" w:cstheme="minorHAnsi"/>
          <w:b/>
          <w:bCs/>
          <w:i/>
          <w:iCs/>
          <w:color w:val="333333"/>
          <w:sz w:val="22"/>
          <w:szCs w:val="22"/>
        </w:rPr>
      </w:pPr>
      <w:r w:rsidRPr="002E5C59">
        <w:rPr>
          <w:rFonts w:asciiTheme="minorHAnsi" w:hAnsiTheme="minorHAnsi" w:cstheme="minorHAnsi"/>
          <w:b/>
          <w:bCs/>
          <w:i/>
          <w:iCs/>
          <w:color w:val="333333"/>
          <w:sz w:val="22"/>
          <w:szCs w:val="22"/>
        </w:rPr>
        <w:t>‘Para 9: What sizes of site or broad locations can be considered for assessment?</w:t>
      </w:r>
    </w:p>
    <w:p w14:paraId="232BAAA7" w14:textId="77777777" w:rsidR="00006075" w:rsidRDefault="00006075" w:rsidP="00006075">
      <w:pPr>
        <w:pStyle w:val="NormalWeb"/>
        <w:shd w:val="clear" w:color="auto" w:fill="FFFFFF"/>
        <w:spacing w:before="0" w:beforeAutospacing="0" w:after="0" w:afterAutospacing="0"/>
        <w:rPr>
          <w:rFonts w:asciiTheme="minorHAnsi" w:hAnsiTheme="minorHAnsi" w:cstheme="minorHAnsi"/>
          <w:i/>
          <w:iCs/>
          <w:color w:val="333333"/>
          <w:sz w:val="22"/>
          <w:szCs w:val="22"/>
        </w:rPr>
      </w:pPr>
      <w:r w:rsidRPr="002E5C59">
        <w:rPr>
          <w:rFonts w:asciiTheme="minorHAnsi" w:hAnsiTheme="minorHAnsi" w:cstheme="minorHAnsi"/>
          <w:i/>
          <w:iCs/>
          <w:color w:val="333333"/>
          <w:sz w:val="22"/>
          <w:szCs w:val="22"/>
        </w:rPr>
        <w:t>Plan-makers will need to assess a range of different site sizes from small-scale sites to opportunities for large-scale developments such as village and town extensions and new settlements where appropriate.</w:t>
      </w:r>
    </w:p>
    <w:p w14:paraId="5D3E7E2A" w14:textId="77777777" w:rsidR="00006075" w:rsidRPr="002E5C59" w:rsidRDefault="00006075" w:rsidP="00006075">
      <w:pPr>
        <w:pStyle w:val="NormalWeb"/>
        <w:shd w:val="clear" w:color="auto" w:fill="FFFFFF"/>
        <w:spacing w:before="0" w:beforeAutospacing="0" w:after="0" w:afterAutospacing="0"/>
        <w:rPr>
          <w:rFonts w:asciiTheme="minorHAnsi" w:hAnsiTheme="minorHAnsi" w:cstheme="minorHAnsi"/>
          <w:i/>
          <w:iCs/>
          <w:color w:val="333333"/>
          <w:sz w:val="22"/>
          <w:szCs w:val="22"/>
        </w:rPr>
      </w:pPr>
      <w:r w:rsidRPr="002E5C59">
        <w:rPr>
          <w:rFonts w:asciiTheme="minorHAnsi" w:hAnsiTheme="minorHAnsi" w:cstheme="minorHAnsi"/>
          <w:i/>
          <w:iCs/>
          <w:color w:val="333333"/>
          <w:sz w:val="22"/>
          <w:szCs w:val="22"/>
        </w:rPr>
        <w:lastRenderedPageBreak/>
        <w:t xml:space="preserve">It may be appropriate to </w:t>
      </w:r>
      <w:r w:rsidRPr="002E5C59">
        <w:rPr>
          <w:rFonts w:asciiTheme="minorHAnsi" w:hAnsiTheme="minorHAnsi" w:cstheme="minorHAnsi"/>
          <w:i/>
          <w:iCs/>
          <w:color w:val="333333"/>
          <w:sz w:val="22"/>
          <w:szCs w:val="22"/>
          <w:u w:val="single"/>
        </w:rPr>
        <w:t>consider all sites and broad locations capable of delivering 5 or more dwellings</w:t>
      </w:r>
      <w:r w:rsidRPr="002E5C59">
        <w:rPr>
          <w:rFonts w:asciiTheme="minorHAnsi" w:hAnsiTheme="minorHAnsi" w:cstheme="minorHAnsi"/>
          <w:i/>
          <w:iCs/>
          <w:color w:val="333333"/>
          <w:sz w:val="22"/>
          <w:szCs w:val="22"/>
        </w:rPr>
        <w:t>, or economic development on sites of 0.25 hectares (or 500 square metres of floor space) and above.</w:t>
      </w:r>
    </w:p>
    <w:p w14:paraId="417B059F" w14:textId="77777777" w:rsidR="00006075"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279381F9" w14:textId="77777777" w:rsidR="00006075" w:rsidRPr="002E5C59" w:rsidRDefault="00006075" w:rsidP="00006075">
      <w:pPr>
        <w:pStyle w:val="NormalWeb"/>
        <w:shd w:val="clear" w:color="auto" w:fill="FFFFFF"/>
        <w:spacing w:after="0"/>
        <w:rPr>
          <w:rFonts w:asciiTheme="minorHAnsi" w:hAnsiTheme="minorHAnsi" w:cstheme="minorHAnsi"/>
          <w:b/>
          <w:bCs/>
          <w:i/>
          <w:iCs/>
          <w:color w:val="333333"/>
          <w:sz w:val="22"/>
          <w:szCs w:val="22"/>
        </w:rPr>
      </w:pPr>
      <w:r w:rsidRPr="002E5C59">
        <w:rPr>
          <w:rFonts w:asciiTheme="minorHAnsi" w:hAnsiTheme="minorHAnsi" w:cstheme="minorHAnsi"/>
          <w:b/>
          <w:bCs/>
          <w:i/>
          <w:iCs/>
          <w:color w:val="333333"/>
          <w:sz w:val="22"/>
          <w:szCs w:val="22"/>
        </w:rPr>
        <w:t>‘Para 10: How can sites/broad locations be identified?</w:t>
      </w:r>
    </w:p>
    <w:p w14:paraId="60EE05CC" w14:textId="77777777" w:rsidR="00006075" w:rsidRPr="002E5C59" w:rsidRDefault="00006075" w:rsidP="00006075">
      <w:pPr>
        <w:pStyle w:val="NormalWeb"/>
        <w:shd w:val="clear" w:color="auto" w:fill="FFFFFF"/>
        <w:spacing w:after="0"/>
        <w:rPr>
          <w:rFonts w:asciiTheme="minorHAnsi" w:hAnsiTheme="minorHAnsi" w:cstheme="minorHAnsi"/>
          <w:i/>
          <w:iCs/>
          <w:color w:val="333333"/>
          <w:sz w:val="22"/>
          <w:szCs w:val="22"/>
        </w:rPr>
      </w:pPr>
      <w:r w:rsidRPr="002E5C59">
        <w:rPr>
          <w:rFonts w:asciiTheme="minorHAnsi" w:hAnsiTheme="minorHAnsi" w:cstheme="minorHAnsi"/>
          <w:i/>
          <w:iCs/>
          <w:color w:val="333333"/>
          <w:sz w:val="22"/>
          <w:szCs w:val="22"/>
        </w:rPr>
        <w:t>When carrying out a desktop review, plan-makers need to be proactive in identifying as wide a range of sites and broad locations for development as possible (including those existing sites that could be improved, intensified or changed). Identified sites, which have particular constraints (such as Green Belt), need to be included in the assessment for the sake of comprehensiveness but these constraints need to be set out clearly, including where they severely restrict development. An important part of the desktop review, however, is to identify sites and their constraints, rather than simply to rule out sites outright which are known to have constraints.</w:t>
      </w:r>
    </w:p>
    <w:p w14:paraId="266142DF" w14:textId="77777777" w:rsidR="00006075" w:rsidRPr="002E5C59" w:rsidRDefault="00006075" w:rsidP="00006075">
      <w:pPr>
        <w:pStyle w:val="NormalWeb"/>
        <w:shd w:val="clear" w:color="auto" w:fill="FFFFFF"/>
        <w:spacing w:before="0" w:beforeAutospacing="0" w:after="0" w:afterAutospacing="0"/>
        <w:rPr>
          <w:rFonts w:asciiTheme="minorHAnsi" w:hAnsiTheme="minorHAnsi" w:cstheme="minorHAnsi"/>
          <w:i/>
          <w:iCs/>
          <w:color w:val="333333"/>
          <w:sz w:val="22"/>
          <w:szCs w:val="22"/>
        </w:rPr>
      </w:pPr>
      <w:r w:rsidRPr="002E5C59">
        <w:rPr>
          <w:rFonts w:asciiTheme="minorHAnsi" w:hAnsiTheme="minorHAnsi" w:cstheme="minorHAnsi"/>
          <w:i/>
          <w:iCs/>
          <w:color w:val="333333"/>
          <w:sz w:val="22"/>
          <w:szCs w:val="22"/>
          <w:u w:val="single"/>
        </w:rPr>
        <w:t>It is important that plan-makers do not simply rely on sites that they have been informed about, but actively identify sites through the desktop review process that may assist in meeting the development needs of an area.</w:t>
      </w:r>
      <w:r w:rsidRPr="002E5C59">
        <w:rPr>
          <w:rFonts w:asciiTheme="minorHAnsi" w:hAnsiTheme="minorHAnsi" w:cstheme="minorHAnsi"/>
          <w:i/>
          <w:iCs/>
          <w:color w:val="333333"/>
          <w:sz w:val="22"/>
          <w:szCs w:val="22"/>
        </w:rPr>
        <w:t>’</w:t>
      </w:r>
    </w:p>
    <w:p w14:paraId="7C4F1DBB" w14:textId="77777777" w:rsidR="00006075"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02347C09"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r>
        <w:rPr>
          <w:rFonts w:asciiTheme="minorHAnsi" w:hAnsiTheme="minorHAnsi" w:cstheme="minorHAnsi"/>
          <w:color w:val="333333"/>
          <w:sz w:val="22"/>
          <w:szCs w:val="22"/>
        </w:rPr>
        <w:t>This paper does not attempt</w:t>
      </w:r>
      <w:r w:rsidRPr="0092542E">
        <w:rPr>
          <w:rFonts w:asciiTheme="minorHAnsi" w:hAnsiTheme="minorHAnsi" w:cstheme="minorHAnsi"/>
          <w:color w:val="333333"/>
          <w:sz w:val="22"/>
          <w:szCs w:val="22"/>
        </w:rPr>
        <w:t xml:space="preserve"> to compile a comprehensive list of areas in which options for meeting identified need for development have not been fully examined as it is sufficient only to show an area in which the requirement has not been met, in order to demonstrate non-compliance with this requirement.</w:t>
      </w:r>
      <w:r>
        <w:rPr>
          <w:rFonts w:asciiTheme="minorHAnsi" w:hAnsiTheme="minorHAnsi" w:cstheme="minorHAnsi"/>
          <w:color w:val="333333"/>
          <w:sz w:val="22"/>
          <w:szCs w:val="22"/>
        </w:rPr>
        <w:t xml:space="preserve"> Notwithstanding this, the list of areas of non-compliance is lengthy, as shown below.</w:t>
      </w:r>
    </w:p>
    <w:p w14:paraId="3287045E"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00BF4C3E"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r w:rsidRPr="0092542E">
        <w:rPr>
          <w:rFonts w:asciiTheme="minorHAnsi" w:hAnsiTheme="minorHAnsi" w:cstheme="minorHAnsi"/>
          <w:color w:val="333333"/>
          <w:sz w:val="22"/>
          <w:szCs w:val="22"/>
        </w:rPr>
        <w:t xml:space="preserve">The Land Availability Assessment 2022 (‘LAA’) and the ‘Combined Document’ of Land Availability Assessment maps, both provided as supporting documents to the Draft Local Plan have a number of </w:t>
      </w:r>
      <w:r>
        <w:rPr>
          <w:rFonts w:asciiTheme="minorHAnsi" w:hAnsiTheme="minorHAnsi" w:cstheme="minorHAnsi"/>
          <w:color w:val="333333"/>
          <w:sz w:val="22"/>
          <w:szCs w:val="22"/>
        </w:rPr>
        <w:t>issues meaning that they do not comply with government regulations and are not currently suitable for use as support for the Draft Local Plan. These issues include, but are not limited to, the following</w:t>
      </w:r>
      <w:r w:rsidRPr="0092542E">
        <w:rPr>
          <w:rFonts w:asciiTheme="minorHAnsi" w:hAnsiTheme="minorHAnsi" w:cstheme="minorHAnsi"/>
          <w:color w:val="333333"/>
          <w:sz w:val="22"/>
          <w:szCs w:val="22"/>
        </w:rPr>
        <w:t>:</w:t>
      </w:r>
    </w:p>
    <w:p w14:paraId="45DC9295" w14:textId="77777777" w:rsidR="00006075" w:rsidRDefault="00006075" w:rsidP="00006075">
      <w:pPr>
        <w:pStyle w:val="NormalWeb"/>
        <w:numPr>
          <w:ilvl w:val="0"/>
          <w:numId w:val="2"/>
        </w:numPr>
        <w:shd w:val="clear" w:color="auto" w:fill="FFFFFF"/>
        <w:spacing w:before="0" w:beforeAutospacing="0" w:after="0" w:afterAutospacing="0"/>
        <w:rPr>
          <w:rFonts w:asciiTheme="minorHAnsi" w:hAnsiTheme="minorHAnsi" w:cstheme="minorHAnsi"/>
          <w:color w:val="333333"/>
          <w:sz w:val="22"/>
          <w:szCs w:val="22"/>
        </w:rPr>
      </w:pPr>
      <w:r w:rsidRPr="0092542E">
        <w:rPr>
          <w:rFonts w:asciiTheme="minorHAnsi" w:hAnsiTheme="minorHAnsi" w:cstheme="minorHAnsi"/>
          <w:color w:val="333333"/>
          <w:sz w:val="22"/>
          <w:szCs w:val="22"/>
        </w:rPr>
        <w:t>They exclude numerous council-owned sites which appear, therefore, not to have been assessed. Two examples of land which appears not to have been assessed are the land around Saddler’s Court and the allotments at Bridle Rd.</w:t>
      </w:r>
    </w:p>
    <w:p w14:paraId="39F0307A" w14:textId="77777777" w:rsidR="00006075" w:rsidRDefault="00006075" w:rsidP="00006075">
      <w:pPr>
        <w:pStyle w:val="NormalWeb"/>
        <w:numPr>
          <w:ilvl w:val="0"/>
          <w:numId w:val="2"/>
        </w:numPr>
        <w:shd w:val="clear" w:color="auto" w:fill="FFFFFF"/>
        <w:spacing w:before="0" w:beforeAutospacing="0" w:after="0" w:afterAutospacing="0"/>
        <w:rPr>
          <w:rFonts w:asciiTheme="minorHAnsi" w:hAnsiTheme="minorHAnsi" w:cstheme="minorHAnsi"/>
          <w:color w:val="333333"/>
          <w:sz w:val="22"/>
          <w:szCs w:val="22"/>
        </w:rPr>
      </w:pPr>
      <w:r>
        <w:rPr>
          <w:rFonts w:asciiTheme="minorHAnsi" w:hAnsiTheme="minorHAnsi" w:cstheme="minorHAnsi"/>
          <w:color w:val="333333"/>
          <w:sz w:val="22"/>
          <w:szCs w:val="22"/>
        </w:rPr>
        <w:t>Para 10 of the HELAA, requires that the LAA includes ‘</w:t>
      </w:r>
      <w:r w:rsidRPr="002E5C59">
        <w:rPr>
          <w:rFonts w:asciiTheme="minorHAnsi" w:hAnsiTheme="minorHAnsi" w:cstheme="minorHAnsi"/>
          <w:i/>
          <w:iCs/>
          <w:color w:val="333333"/>
          <w:sz w:val="22"/>
          <w:szCs w:val="22"/>
        </w:rPr>
        <w:t>as wide a range of sites and broad locations for development as possible</w:t>
      </w:r>
      <w:r>
        <w:rPr>
          <w:rFonts w:asciiTheme="minorHAnsi" w:hAnsiTheme="minorHAnsi" w:cstheme="minorHAnsi"/>
          <w:i/>
          <w:iCs/>
          <w:color w:val="333333"/>
          <w:sz w:val="22"/>
          <w:szCs w:val="22"/>
        </w:rPr>
        <w:t>’ and ‘</w:t>
      </w:r>
      <w:r w:rsidRPr="002E5C59">
        <w:rPr>
          <w:rFonts w:asciiTheme="minorHAnsi" w:hAnsiTheme="minorHAnsi" w:cstheme="minorHAnsi"/>
          <w:i/>
          <w:iCs/>
          <w:color w:val="333333"/>
          <w:sz w:val="22"/>
          <w:szCs w:val="22"/>
        </w:rPr>
        <w:t>Identified sites, which have particular constraints (such as Green Belt), need to be included in the assessment for the sake of comprehensiveness</w:t>
      </w:r>
      <w:r>
        <w:rPr>
          <w:rFonts w:asciiTheme="minorHAnsi" w:hAnsiTheme="minorHAnsi" w:cstheme="minorHAnsi"/>
          <w:i/>
          <w:iCs/>
          <w:color w:val="333333"/>
          <w:sz w:val="22"/>
          <w:szCs w:val="22"/>
        </w:rPr>
        <w:t>’</w:t>
      </w:r>
      <w:r>
        <w:rPr>
          <w:rFonts w:asciiTheme="minorHAnsi" w:hAnsiTheme="minorHAnsi" w:cstheme="minorHAnsi"/>
          <w:color w:val="333333"/>
          <w:sz w:val="22"/>
          <w:szCs w:val="22"/>
        </w:rPr>
        <w:t xml:space="preserve">. The LAA does not comply with this as it excludes numerous 26 of the 56 parcels of land in the 2017 Greenbelt Study. It also excludes numerous other pieces of land examples of which are set out in the points below. </w:t>
      </w:r>
    </w:p>
    <w:p w14:paraId="4E808F29" w14:textId="77777777" w:rsidR="00006075" w:rsidRPr="0092542E" w:rsidRDefault="00006075" w:rsidP="00006075">
      <w:pPr>
        <w:pStyle w:val="NormalWeb"/>
        <w:numPr>
          <w:ilvl w:val="0"/>
          <w:numId w:val="2"/>
        </w:numPr>
        <w:shd w:val="clear" w:color="auto" w:fill="FFFFFF"/>
        <w:spacing w:before="0" w:beforeAutospacing="0" w:after="0" w:afterAutospacing="0"/>
        <w:rPr>
          <w:rFonts w:asciiTheme="minorHAnsi" w:hAnsiTheme="minorHAnsi" w:cstheme="minorHAnsi"/>
          <w:color w:val="333333"/>
          <w:sz w:val="22"/>
          <w:szCs w:val="22"/>
        </w:rPr>
      </w:pPr>
      <w:r>
        <w:rPr>
          <w:rFonts w:asciiTheme="minorHAnsi" w:hAnsiTheme="minorHAnsi" w:cstheme="minorHAnsi"/>
          <w:color w:val="333333"/>
          <w:sz w:val="22"/>
          <w:szCs w:val="22"/>
        </w:rPr>
        <w:t xml:space="preserve">The LAA does not comply with para 10 of the HELAA by clearly setting out the constraints for the Greenbelt and other constrained sites that would restrict development. Nor does it comply with Para 2 of the HELAA, which states that plan-makers </w:t>
      </w:r>
      <w:r w:rsidRPr="002E5C59">
        <w:rPr>
          <w:rFonts w:asciiTheme="minorHAnsi" w:hAnsiTheme="minorHAnsi" w:cstheme="minorHAnsi"/>
          <w:color w:val="333333"/>
          <w:sz w:val="22"/>
          <w:szCs w:val="22"/>
          <w:u w:val="single"/>
        </w:rPr>
        <w:t>should not override constraints such as Greenbelt status</w:t>
      </w:r>
      <w:r>
        <w:rPr>
          <w:rFonts w:asciiTheme="minorHAnsi" w:hAnsiTheme="minorHAnsi" w:cstheme="minorHAnsi"/>
          <w:color w:val="333333"/>
          <w:sz w:val="22"/>
          <w:szCs w:val="22"/>
        </w:rPr>
        <w:t xml:space="preserve"> which would provide strong reasons for restricting the overall scale of development.</w:t>
      </w:r>
    </w:p>
    <w:p w14:paraId="350105BE" w14:textId="77777777" w:rsidR="00006075" w:rsidRPr="0092542E" w:rsidRDefault="00006075" w:rsidP="00006075">
      <w:pPr>
        <w:pStyle w:val="NormalWeb"/>
        <w:numPr>
          <w:ilvl w:val="0"/>
          <w:numId w:val="2"/>
        </w:numPr>
        <w:shd w:val="clear" w:color="auto" w:fill="FFFFFF"/>
        <w:spacing w:before="0" w:beforeAutospacing="0" w:after="0" w:afterAutospacing="0"/>
        <w:rPr>
          <w:rFonts w:asciiTheme="minorHAnsi" w:hAnsiTheme="minorHAnsi" w:cstheme="minorHAnsi"/>
          <w:color w:val="333333"/>
          <w:sz w:val="22"/>
          <w:szCs w:val="22"/>
        </w:rPr>
      </w:pPr>
      <w:r w:rsidRPr="0092542E">
        <w:rPr>
          <w:rFonts w:asciiTheme="minorHAnsi" w:hAnsiTheme="minorHAnsi" w:cstheme="minorHAnsi"/>
          <w:color w:val="333333"/>
          <w:sz w:val="22"/>
          <w:szCs w:val="22"/>
        </w:rPr>
        <w:t>Sites considered developable include AUR004 of 0.037 ha, COL016 of 0.1 ha, COU045 of 0.1 ha, EWE016 of 0.11 ha, NON003 of 0.1 ha, STO007 of 0.15 ha and TOW015 of 0.05 ha. All of these sites are 0.15 ha or smaller</w:t>
      </w:r>
      <w:r>
        <w:rPr>
          <w:rFonts w:asciiTheme="minorHAnsi" w:hAnsiTheme="minorHAnsi" w:cstheme="minorHAnsi"/>
          <w:color w:val="333333"/>
          <w:sz w:val="22"/>
          <w:szCs w:val="22"/>
        </w:rPr>
        <w:t xml:space="preserve"> but are considered suitable for 5 or more dwellings.</w:t>
      </w:r>
    </w:p>
    <w:p w14:paraId="03460871" w14:textId="77777777" w:rsidR="00006075" w:rsidRPr="0092542E" w:rsidRDefault="00006075" w:rsidP="00006075">
      <w:pPr>
        <w:pStyle w:val="NormalWeb"/>
        <w:shd w:val="clear" w:color="auto" w:fill="FFFFFF"/>
        <w:spacing w:before="0" w:beforeAutospacing="0" w:after="0" w:afterAutospacing="0"/>
        <w:ind w:left="720"/>
        <w:rPr>
          <w:rFonts w:asciiTheme="minorHAnsi" w:hAnsiTheme="minorHAnsi" w:cstheme="minorHAnsi"/>
          <w:color w:val="333333"/>
          <w:sz w:val="22"/>
          <w:szCs w:val="22"/>
        </w:rPr>
      </w:pPr>
      <w:r w:rsidRPr="0092542E">
        <w:rPr>
          <w:rFonts w:asciiTheme="minorHAnsi" w:hAnsiTheme="minorHAnsi" w:cstheme="minorHAnsi"/>
          <w:color w:val="333333"/>
          <w:sz w:val="22"/>
          <w:szCs w:val="22"/>
        </w:rPr>
        <w:t xml:space="preserve">Notwithstanding this, the LAA discounts numerous sites from potential development on the basis that they are ‘too small’. These include sites in various wards such as COL014 of 0.24ha, COL015, of 0.36 ha, RUX008 of 0.18 ha, STA033 of 0.25 ha, TOW12 of 0.29 ha and WEW003 of 0.17 ha, all of which are 0.17 ha or larger. </w:t>
      </w:r>
    </w:p>
    <w:p w14:paraId="30BE964B" w14:textId="77777777" w:rsidR="00006075" w:rsidRPr="0092542E" w:rsidRDefault="00006075" w:rsidP="00006075">
      <w:pPr>
        <w:pStyle w:val="NormalWeb"/>
        <w:shd w:val="clear" w:color="auto" w:fill="FFFFFF"/>
        <w:spacing w:before="0" w:beforeAutospacing="0" w:after="0" w:afterAutospacing="0"/>
        <w:ind w:left="720"/>
        <w:rPr>
          <w:rFonts w:asciiTheme="minorHAnsi" w:hAnsiTheme="minorHAnsi" w:cstheme="minorHAnsi"/>
          <w:color w:val="333333"/>
          <w:sz w:val="22"/>
          <w:szCs w:val="22"/>
        </w:rPr>
      </w:pPr>
      <w:r w:rsidRPr="0092542E">
        <w:rPr>
          <w:rFonts w:asciiTheme="minorHAnsi" w:hAnsiTheme="minorHAnsi" w:cstheme="minorHAnsi"/>
          <w:color w:val="333333"/>
          <w:sz w:val="22"/>
          <w:szCs w:val="22"/>
        </w:rPr>
        <w:lastRenderedPageBreak/>
        <w:t xml:space="preserve">In total, the LAA discounts 42 sites as being too small, many of which would, based on their stated land areas, be large enough to support significant housing </w:t>
      </w:r>
      <w:r>
        <w:rPr>
          <w:rFonts w:asciiTheme="minorHAnsi" w:hAnsiTheme="minorHAnsi" w:cstheme="minorHAnsi"/>
          <w:color w:val="333333"/>
          <w:sz w:val="22"/>
          <w:szCs w:val="22"/>
        </w:rPr>
        <w:t xml:space="preserve">(well above the threshold of 5 dwellings) </w:t>
      </w:r>
      <w:r w:rsidRPr="0092542E">
        <w:rPr>
          <w:rFonts w:asciiTheme="minorHAnsi" w:hAnsiTheme="minorHAnsi" w:cstheme="minorHAnsi"/>
          <w:color w:val="333333"/>
          <w:sz w:val="22"/>
          <w:szCs w:val="22"/>
        </w:rPr>
        <w:t>and contribute to the need for development sites.</w:t>
      </w:r>
    </w:p>
    <w:p w14:paraId="1A987A6A" w14:textId="77777777" w:rsidR="00006075" w:rsidRPr="0092542E" w:rsidRDefault="00006075" w:rsidP="00006075">
      <w:pPr>
        <w:pStyle w:val="NormalWeb"/>
        <w:numPr>
          <w:ilvl w:val="0"/>
          <w:numId w:val="2"/>
        </w:numPr>
        <w:shd w:val="clear" w:color="auto" w:fill="FFFFFF"/>
        <w:spacing w:before="0" w:beforeAutospacing="0" w:after="0" w:afterAutospacing="0"/>
        <w:rPr>
          <w:rFonts w:asciiTheme="minorHAnsi" w:hAnsiTheme="minorHAnsi" w:cstheme="minorHAnsi"/>
          <w:color w:val="333333"/>
          <w:sz w:val="22"/>
          <w:szCs w:val="22"/>
        </w:rPr>
      </w:pPr>
      <w:r w:rsidRPr="0092542E">
        <w:rPr>
          <w:rFonts w:asciiTheme="minorHAnsi" w:hAnsiTheme="minorHAnsi" w:cstheme="minorHAnsi"/>
          <w:color w:val="333333"/>
          <w:sz w:val="22"/>
          <w:szCs w:val="22"/>
        </w:rPr>
        <w:t xml:space="preserve">The LAA discounts 34 sites on the basis of ‘suitability concerns’, without specifying what these might be, or demonstrating that the sites have been ‘fully examined’. </w:t>
      </w:r>
      <w:r>
        <w:rPr>
          <w:rFonts w:asciiTheme="minorHAnsi" w:hAnsiTheme="minorHAnsi" w:cstheme="minorHAnsi"/>
          <w:color w:val="333333"/>
          <w:sz w:val="22"/>
          <w:szCs w:val="22"/>
        </w:rPr>
        <w:t>Para 10 of the HELAA states that ‘</w:t>
      </w:r>
      <w:r w:rsidRPr="002E5C59">
        <w:rPr>
          <w:rFonts w:asciiTheme="minorHAnsi" w:hAnsiTheme="minorHAnsi" w:cstheme="minorHAnsi"/>
          <w:i/>
          <w:iCs/>
          <w:color w:val="333333"/>
          <w:sz w:val="22"/>
          <w:szCs w:val="22"/>
        </w:rPr>
        <w:t>these constraints need to be set out clearly, including where they severely restrict development</w:t>
      </w:r>
      <w:r>
        <w:rPr>
          <w:rFonts w:asciiTheme="minorHAnsi" w:hAnsiTheme="minorHAnsi" w:cstheme="minorHAnsi"/>
          <w:i/>
          <w:iCs/>
          <w:color w:val="333333"/>
          <w:sz w:val="22"/>
          <w:szCs w:val="22"/>
        </w:rPr>
        <w:t>’</w:t>
      </w:r>
      <w:r w:rsidRPr="00F5240B">
        <w:rPr>
          <w:rFonts w:asciiTheme="minorHAnsi" w:hAnsiTheme="minorHAnsi" w:cstheme="minorHAnsi"/>
          <w:color w:val="333333"/>
          <w:sz w:val="22"/>
          <w:szCs w:val="22"/>
        </w:rPr>
        <w:t>.</w:t>
      </w:r>
      <w:r w:rsidRPr="0092542E">
        <w:rPr>
          <w:rFonts w:asciiTheme="minorHAnsi" w:hAnsiTheme="minorHAnsi" w:cstheme="minorHAnsi"/>
          <w:color w:val="333333"/>
          <w:sz w:val="22"/>
          <w:szCs w:val="22"/>
        </w:rPr>
        <w:t xml:space="preserve"> In the absence of further data, it is reasonable to assume that the list of sites may contain </w:t>
      </w:r>
      <w:r>
        <w:rPr>
          <w:rFonts w:asciiTheme="minorHAnsi" w:hAnsiTheme="minorHAnsi" w:cstheme="minorHAnsi"/>
          <w:color w:val="333333"/>
          <w:sz w:val="22"/>
          <w:szCs w:val="22"/>
        </w:rPr>
        <w:t>additional</w:t>
      </w:r>
      <w:r w:rsidRPr="0092542E">
        <w:rPr>
          <w:rFonts w:asciiTheme="minorHAnsi" w:hAnsiTheme="minorHAnsi" w:cstheme="minorHAnsi"/>
          <w:color w:val="333333"/>
          <w:sz w:val="22"/>
          <w:szCs w:val="22"/>
        </w:rPr>
        <w:t xml:space="preserve"> options for meeting the identified need for development.</w:t>
      </w:r>
    </w:p>
    <w:p w14:paraId="669D03B4" w14:textId="77777777" w:rsidR="00006075" w:rsidRDefault="00006075" w:rsidP="00006075">
      <w:pPr>
        <w:pStyle w:val="NormalWeb"/>
        <w:numPr>
          <w:ilvl w:val="0"/>
          <w:numId w:val="2"/>
        </w:numPr>
        <w:shd w:val="clear" w:color="auto" w:fill="FFFFFF"/>
        <w:spacing w:before="0" w:beforeAutospacing="0" w:after="0" w:afterAutospacing="0"/>
        <w:rPr>
          <w:rFonts w:asciiTheme="minorHAnsi" w:hAnsiTheme="minorHAnsi" w:cstheme="minorHAnsi"/>
          <w:color w:val="333333"/>
          <w:sz w:val="22"/>
          <w:szCs w:val="22"/>
        </w:rPr>
      </w:pPr>
      <w:r w:rsidRPr="00F5240B">
        <w:rPr>
          <w:rFonts w:asciiTheme="minorHAnsi" w:hAnsiTheme="minorHAnsi" w:cstheme="minorHAnsi"/>
          <w:color w:val="333333"/>
          <w:sz w:val="22"/>
          <w:szCs w:val="22"/>
        </w:rPr>
        <w:t xml:space="preserve">The LAA discounts 32 sites on the basis of ‘availability concerns’, without specifying what these might be, or demonstrating that the sites have been ‘fully examined’. </w:t>
      </w:r>
      <w:r>
        <w:rPr>
          <w:rFonts w:asciiTheme="minorHAnsi" w:hAnsiTheme="minorHAnsi" w:cstheme="minorHAnsi"/>
          <w:color w:val="333333"/>
          <w:sz w:val="22"/>
          <w:szCs w:val="22"/>
        </w:rPr>
        <w:t>Para 10 of the HELAA states that ‘</w:t>
      </w:r>
      <w:r w:rsidRPr="002E5C59">
        <w:rPr>
          <w:rFonts w:asciiTheme="minorHAnsi" w:hAnsiTheme="minorHAnsi" w:cstheme="minorHAnsi"/>
          <w:i/>
          <w:iCs/>
          <w:color w:val="333333"/>
          <w:sz w:val="22"/>
          <w:szCs w:val="22"/>
        </w:rPr>
        <w:t>these constraints need to be set out clearly, including where they severely restrict development</w:t>
      </w:r>
      <w:r>
        <w:rPr>
          <w:rFonts w:asciiTheme="minorHAnsi" w:hAnsiTheme="minorHAnsi" w:cstheme="minorHAnsi"/>
          <w:i/>
          <w:iCs/>
          <w:color w:val="333333"/>
          <w:sz w:val="22"/>
          <w:szCs w:val="22"/>
        </w:rPr>
        <w:t>’</w:t>
      </w:r>
      <w:r w:rsidRPr="00F5240B">
        <w:rPr>
          <w:rFonts w:asciiTheme="minorHAnsi" w:hAnsiTheme="minorHAnsi" w:cstheme="minorHAnsi"/>
          <w:color w:val="333333"/>
          <w:sz w:val="22"/>
          <w:szCs w:val="22"/>
        </w:rPr>
        <w:t>.</w:t>
      </w:r>
      <w:r w:rsidRPr="0092542E">
        <w:rPr>
          <w:rFonts w:asciiTheme="minorHAnsi" w:hAnsiTheme="minorHAnsi" w:cstheme="minorHAnsi"/>
          <w:color w:val="333333"/>
          <w:sz w:val="22"/>
          <w:szCs w:val="22"/>
        </w:rPr>
        <w:t xml:space="preserve"> In the absence of further data, it is reasonable to assume that the list of sites may contain </w:t>
      </w:r>
      <w:r>
        <w:rPr>
          <w:rFonts w:asciiTheme="minorHAnsi" w:hAnsiTheme="minorHAnsi" w:cstheme="minorHAnsi"/>
          <w:color w:val="333333"/>
          <w:sz w:val="22"/>
          <w:szCs w:val="22"/>
        </w:rPr>
        <w:t>additional</w:t>
      </w:r>
      <w:r w:rsidRPr="0092542E">
        <w:rPr>
          <w:rFonts w:asciiTheme="minorHAnsi" w:hAnsiTheme="minorHAnsi" w:cstheme="minorHAnsi"/>
          <w:color w:val="333333"/>
          <w:sz w:val="22"/>
          <w:szCs w:val="22"/>
        </w:rPr>
        <w:t xml:space="preserve"> options for meeting the identified need for development.</w:t>
      </w:r>
    </w:p>
    <w:p w14:paraId="30A4105F" w14:textId="77777777" w:rsidR="00006075" w:rsidRPr="00F5240B" w:rsidRDefault="00006075" w:rsidP="00006075">
      <w:pPr>
        <w:pStyle w:val="NormalWeb"/>
        <w:numPr>
          <w:ilvl w:val="0"/>
          <w:numId w:val="2"/>
        </w:numPr>
        <w:shd w:val="clear" w:color="auto" w:fill="FFFFFF"/>
        <w:spacing w:before="0" w:beforeAutospacing="0" w:after="0" w:afterAutospacing="0"/>
        <w:rPr>
          <w:rFonts w:asciiTheme="minorHAnsi" w:hAnsiTheme="minorHAnsi" w:cstheme="minorHAnsi"/>
          <w:color w:val="333333"/>
          <w:sz w:val="22"/>
          <w:szCs w:val="22"/>
        </w:rPr>
      </w:pPr>
      <w:r w:rsidRPr="00F5240B">
        <w:rPr>
          <w:rFonts w:asciiTheme="minorHAnsi" w:hAnsiTheme="minorHAnsi" w:cstheme="minorHAnsi"/>
          <w:color w:val="333333"/>
          <w:sz w:val="22"/>
          <w:szCs w:val="22"/>
        </w:rPr>
        <w:t>The LAA discounts 5 sites as ‘not available’, without explaining whether the owners of the sites have been requested to make them available (as opposed to owners volunteering the land as part of the ‘call for sites’)</w:t>
      </w:r>
    </w:p>
    <w:p w14:paraId="2114C948" w14:textId="77777777" w:rsidR="00006075" w:rsidRPr="0092542E" w:rsidRDefault="00006075" w:rsidP="00006075">
      <w:pPr>
        <w:pStyle w:val="NormalWeb"/>
        <w:numPr>
          <w:ilvl w:val="0"/>
          <w:numId w:val="2"/>
        </w:numPr>
        <w:shd w:val="clear" w:color="auto" w:fill="FFFFFF"/>
        <w:spacing w:before="0" w:beforeAutospacing="0" w:after="0" w:afterAutospacing="0"/>
        <w:rPr>
          <w:rFonts w:asciiTheme="minorHAnsi" w:hAnsiTheme="minorHAnsi" w:cstheme="minorHAnsi"/>
          <w:color w:val="333333"/>
          <w:sz w:val="22"/>
          <w:szCs w:val="22"/>
        </w:rPr>
      </w:pPr>
      <w:r w:rsidRPr="0092542E">
        <w:rPr>
          <w:rFonts w:asciiTheme="minorHAnsi" w:hAnsiTheme="minorHAnsi" w:cstheme="minorHAnsi"/>
          <w:color w:val="333333"/>
          <w:sz w:val="22"/>
          <w:szCs w:val="22"/>
        </w:rPr>
        <w:t>They do not consider other areas of land in private ownership (not listed in the LAA) that might be made available for development if the owners were approached, for instance the land in Higher Green, or the area enclosed by ‘The Green’ in Ewell Downs.</w:t>
      </w:r>
      <w:r>
        <w:rPr>
          <w:rFonts w:asciiTheme="minorHAnsi" w:hAnsiTheme="minorHAnsi" w:cstheme="minorHAnsi"/>
          <w:color w:val="333333"/>
          <w:sz w:val="22"/>
          <w:szCs w:val="22"/>
        </w:rPr>
        <w:t xml:space="preserve"> As a result, the LAA fails to comply with para 10 of the HELAA which states ‘</w:t>
      </w:r>
      <w:r w:rsidRPr="00F5240B">
        <w:rPr>
          <w:rFonts w:asciiTheme="minorHAnsi" w:hAnsiTheme="minorHAnsi" w:cstheme="minorHAnsi"/>
          <w:i/>
          <w:iCs/>
          <w:color w:val="333333"/>
          <w:sz w:val="22"/>
          <w:szCs w:val="22"/>
        </w:rPr>
        <w:t>It is important that plan-makers do not simply rely on sites that they have been informed about, but actively identify sites through the desktop review process that may assist in meeting the development needs of an area.’</w:t>
      </w:r>
    </w:p>
    <w:p w14:paraId="357A8E8C"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39BB5DF6"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r w:rsidRPr="0092542E">
        <w:rPr>
          <w:rFonts w:asciiTheme="minorHAnsi" w:hAnsiTheme="minorHAnsi" w:cstheme="minorHAnsi"/>
          <w:color w:val="333333"/>
          <w:sz w:val="22"/>
          <w:szCs w:val="22"/>
        </w:rPr>
        <w:t xml:space="preserve">Many of the sites that </w:t>
      </w:r>
      <w:r>
        <w:rPr>
          <w:rFonts w:asciiTheme="minorHAnsi" w:hAnsiTheme="minorHAnsi" w:cstheme="minorHAnsi"/>
          <w:color w:val="333333"/>
          <w:sz w:val="22"/>
          <w:szCs w:val="22"/>
        </w:rPr>
        <w:t>would</w:t>
      </w:r>
      <w:r w:rsidRPr="0092542E">
        <w:rPr>
          <w:rFonts w:asciiTheme="minorHAnsi" w:hAnsiTheme="minorHAnsi" w:cstheme="minorHAnsi"/>
          <w:color w:val="333333"/>
          <w:sz w:val="22"/>
          <w:szCs w:val="22"/>
        </w:rPr>
        <w:t xml:space="preserve"> be identified from a full and thorough examination of these categories may be determined unsuitable for development</w:t>
      </w:r>
      <w:r>
        <w:rPr>
          <w:rFonts w:asciiTheme="minorHAnsi" w:hAnsiTheme="minorHAnsi" w:cstheme="minorHAnsi"/>
          <w:color w:val="333333"/>
          <w:sz w:val="22"/>
          <w:szCs w:val="22"/>
        </w:rPr>
        <w:t>. Whether or not this would be the case, there is an obligation for the sites to</w:t>
      </w:r>
      <w:r w:rsidRPr="0092542E">
        <w:rPr>
          <w:rFonts w:asciiTheme="minorHAnsi" w:hAnsiTheme="minorHAnsi" w:cstheme="minorHAnsi"/>
          <w:color w:val="333333"/>
          <w:sz w:val="22"/>
          <w:szCs w:val="22"/>
        </w:rPr>
        <w:t xml:space="preserve"> be assessed </w:t>
      </w:r>
      <w:r>
        <w:rPr>
          <w:rFonts w:asciiTheme="minorHAnsi" w:hAnsiTheme="minorHAnsi" w:cstheme="minorHAnsi"/>
          <w:color w:val="333333"/>
          <w:sz w:val="22"/>
          <w:szCs w:val="22"/>
        </w:rPr>
        <w:t xml:space="preserve">both </w:t>
      </w:r>
      <w:r w:rsidRPr="0092542E">
        <w:rPr>
          <w:rFonts w:asciiTheme="minorHAnsi" w:hAnsiTheme="minorHAnsi" w:cstheme="minorHAnsi"/>
          <w:color w:val="333333"/>
          <w:sz w:val="22"/>
          <w:szCs w:val="22"/>
        </w:rPr>
        <w:t xml:space="preserve">to </w:t>
      </w:r>
      <w:r>
        <w:rPr>
          <w:rFonts w:asciiTheme="minorHAnsi" w:hAnsiTheme="minorHAnsi" w:cstheme="minorHAnsi"/>
          <w:color w:val="333333"/>
          <w:sz w:val="22"/>
          <w:szCs w:val="22"/>
        </w:rPr>
        <w:t xml:space="preserve">comply with the HELAA and to </w:t>
      </w:r>
      <w:r w:rsidRPr="0092542E">
        <w:rPr>
          <w:rFonts w:asciiTheme="minorHAnsi" w:hAnsiTheme="minorHAnsi" w:cstheme="minorHAnsi"/>
          <w:color w:val="333333"/>
          <w:sz w:val="22"/>
          <w:szCs w:val="22"/>
        </w:rPr>
        <w:t xml:space="preserve">meet the NPPF </w:t>
      </w:r>
      <w:r>
        <w:rPr>
          <w:rFonts w:asciiTheme="minorHAnsi" w:hAnsiTheme="minorHAnsi" w:cstheme="minorHAnsi"/>
          <w:color w:val="333333"/>
          <w:sz w:val="22"/>
          <w:szCs w:val="22"/>
        </w:rPr>
        <w:t xml:space="preserve">para 141 </w:t>
      </w:r>
      <w:r w:rsidRPr="0092542E">
        <w:rPr>
          <w:rFonts w:asciiTheme="minorHAnsi" w:hAnsiTheme="minorHAnsi" w:cstheme="minorHAnsi"/>
          <w:color w:val="333333"/>
          <w:sz w:val="22"/>
          <w:szCs w:val="22"/>
        </w:rPr>
        <w:t>obligation.</w:t>
      </w:r>
    </w:p>
    <w:p w14:paraId="64107CAF"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678C2901"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070DE6A1" w14:textId="77777777" w:rsidR="00006075" w:rsidRPr="0092542E" w:rsidRDefault="00006075" w:rsidP="00006075">
      <w:pPr>
        <w:pStyle w:val="NormalWeb"/>
        <w:numPr>
          <w:ilvl w:val="0"/>
          <w:numId w:val="1"/>
        </w:numPr>
        <w:shd w:val="clear" w:color="auto" w:fill="FFFFFF"/>
        <w:spacing w:before="0" w:beforeAutospacing="0" w:after="0" w:afterAutospacing="0"/>
        <w:rPr>
          <w:rFonts w:asciiTheme="minorHAnsi" w:hAnsiTheme="minorHAnsi" w:cstheme="minorHAnsi"/>
          <w:color w:val="333333"/>
          <w:sz w:val="22"/>
          <w:szCs w:val="22"/>
        </w:rPr>
      </w:pPr>
      <w:r w:rsidRPr="0092542E">
        <w:rPr>
          <w:rFonts w:asciiTheme="minorHAnsi" w:hAnsiTheme="minorHAnsi" w:cstheme="minorHAnsi"/>
          <w:color w:val="333333"/>
          <w:sz w:val="22"/>
          <w:szCs w:val="22"/>
        </w:rPr>
        <w:t>Requirement to ‘</w:t>
      </w:r>
      <w:r w:rsidRPr="0092542E">
        <w:rPr>
          <w:rFonts w:asciiTheme="minorHAnsi" w:hAnsiTheme="minorHAnsi" w:cstheme="minorHAnsi"/>
          <w:b/>
          <w:bCs/>
          <w:sz w:val="22"/>
          <w:szCs w:val="22"/>
          <w:u w:val="single"/>
        </w:rPr>
        <w:t>optimise the density of development’</w:t>
      </w:r>
    </w:p>
    <w:p w14:paraId="3B556B1B"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56FAC2A0"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r>
        <w:rPr>
          <w:rFonts w:asciiTheme="minorHAnsi" w:hAnsiTheme="minorHAnsi" w:cstheme="minorHAnsi"/>
          <w:color w:val="333333"/>
          <w:sz w:val="22"/>
          <w:szCs w:val="22"/>
        </w:rPr>
        <w:t xml:space="preserve">This paper does not attempt </w:t>
      </w:r>
      <w:r w:rsidRPr="0092542E">
        <w:rPr>
          <w:rFonts w:asciiTheme="minorHAnsi" w:hAnsiTheme="minorHAnsi" w:cstheme="minorHAnsi"/>
          <w:color w:val="333333"/>
          <w:sz w:val="22"/>
          <w:szCs w:val="22"/>
        </w:rPr>
        <w:t>to compile a comprehensive list of sites, the proposed density of which does not meet policy as it is sufficient only to show an area in which the requirement has not been met, in order to demonstrate non-compliance with this requirement.</w:t>
      </w:r>
    </w:p>
    <w:p w14:paraId="6D094977"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r w:rsidRPr="0092542E">
        <w:rPr>
          <w:rFonts w:asciiTheme="minorHAnsi" w:hAnsiTheme="minorHAnsi" w:cstheme="minorHAnsi"/>
          <w:color w:val="333333"/>
          <w:sz w:val="22"/>
          <w:szCs w:val="22"/>
        </w:rPr>
        <w:t>Policy S3 states that sites within ‘</w:t>
      </w:r>
      <w:r w:rsidRPr="0092542E">
        <w:rPr>
          <w:rFonts w:asciiTheme="minorHAnsi" w:hAnsiTheme="minorHAnsi" w:cstheme="minorHAnsi"/>
          <w:sz w:val="22"/>
          <w:szCs w:val="22"/>
        </w:rPr>
        <w:t>Epsom Town Centre [will have] a minimum density of 80 dwellings per hectare (</w:t>
      </w:r>
      <w:proofErr w:type="spellStart"/>
      <w:r w:rsidRPr="0092542E">
        <w:rPr>
          <w:rFonts w:asciiTheme="minorHAnsi" w:hAnsiTheme="minorHAnsi" w:cstheme="minorHAnsi"/>
          <w:sz w:val="22"/>
          <w:szCs w:val="22"/>
        </w:rPr>
        <w:t>dph</w:t>
      </w:r>
      <w:proofErr w:type="spellEnd"/>
      <w:r w:rsidRPr="0092542E">
        <w:rPr>
          <w:rFonts w:asciiTheme="minorHAnsi" w:hAnsiTheme="minorHAnsi" w:cstheme="minorHAnsi"/>
          <w:sz w:val="22"/>
          <w:szCs w:val="22"/>
        </w:rPr>
        <w:t>);</w:t>
      </w:r>
    </w:p>
    <w:p w14:paraId="1854562A"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r w:rsidRPr="0092542E">
        <w:rPr>
          <w:rFonts w:asciiTheme="minorHAnsi" w:hAnsiTheme="minorHAnsi" w:cstheme="minorHAnsi"/>
          <w:color w:val="333333"/>
          <w:sz w:val="22"/>
          <w:szCs w:val="22"/>
        </w:rPr>
        <w:t xml:space="preserve">Site SA2, totalling 1.61 ha, is planned to accommodate ‘at least 90 new </w:t>
      </w:r>
      <w:proofErr w:type="gramStart"/>
      <w:r w:rsidRPr="0092542E">
        <w:rPr>
          <w:rFonts w:asciiTheme="minorHAnsi" w:hAnsiTheme="minorHAnsi" w:cstheme="minorHAnsi"/>
          <w:color w:val="333333"/>
          <w:sz w:val="22"/>
          <w:szCs w:val="22"/>
        </w:rPr>
        <w:t>homes’</w:t>
      </w:r>
      <w:proofErr w:type="gramEnd"/>
      <w:r w:rsidRPr="0092542E">
        <w:rPr>
          <w:rFonts w:asciiTheme="minorHAnsi" w:hAnsiTheme="minorHAnsi" w:cstheme="minorHAnsi"/>
          <w:color w:val="333333"/>
          <w:sz w:val="22"/>
          <w:szCs w:val="22"/>
        </w:rPr>
        <w:t xml:space="preserve">. This equates to just under 56 </w:t>
      </w:r>
      <w:proofErr w:type="spellStart"/>
      <w:r w:rsidRPr="0092542E">
        <w:rPr>
          <w:rFonts w:asciiTheme="minorHAnsi" w:hAnsiTheme="minorHAnsi" w:cstheme="minorHAnsi"/>
          <w:color w:val="333333"/>
          <w:sz w:val="22"/>
          <w:szCs w:val="22"/>
        </w:rPr>
        <w:t>dph</w:t>
      </w:r>
      <w:proofErr w:type="spellEnd"/>
      <w:r w:rsidRPr="0092542E">
        <w:rPr>
          <w:rFonts w:asciiTheme="minorHAnsi" w:hAnsiTheme="minorHAnsi" w:cstheme="minorHAnsi"/>
          <w:color w:val="333333"/>
          <w:sz w:val="22"/>
          <w:szCs w:val="22"/>
        </w:rPr>
        <w:t xml:space="preserve"> and therefore does not meet the policy. </w:t>
      </w:r>
    </w:p>
    <w:p w14:paraId="767A4D84"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4CFCAD00"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r w:rsidRPr="0092542E">
        <w:rPr>
          <w:rFonts w:asciiTheme="minorHAnsi" w:hAnsiTheme="minorHAnsi" w:cstheme="minorHAnsi"/>
          <w:color w:val="333333"/>
          <w:sz w:val="22"/>
          <w:szCs w:val="22"/>
        </w:rPr>
        <w:t>Before being able to conclude that exceptional circumstances exist to justify changes to Green Belt boundaries, there appears to be considerable work left to be done.</w:t>
      </w:r>
    </w:p>
    <w:p w14:paraId="1485B025" w14:textId="77777777" w:rsidR="00006075" w:rsidRPr="0092542E" w:rsidRDefault="00006075" w:rsidP="00006075">
      <w:pPr>
        <w:pStyle w:val="NormalWeb"/>
        <w:shd w:val="clear" w:color="auto" w:fill="FFFFFF"/>
        <w:spacing w:before="0" w:beforeAutospacing="0" w:after="0" w:afterAutospacing="0"/>
        <w:rPr>
          <w:rFonts w:asciiTheme="minorHAnsi" w:hAnsiTheme="minorHAnsi" w:cstheme="minorHAnsi"/>
          <w:color w:val="333333"/>
          <w:sz w:val="22"/>
          <w:szCs w:val="22"/>
        </w:rPr>
      </w:pPr>
    </w:p>
    <w:p w14:paraId="67C3386E" w14:textId="77777777" w:rsidR="004A0D1D" w:rsidRDefault="004A0D1D"/>
    <w:sectPr w:rsidR="004A0D1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BB0AEE"/>
    <w:multiLevelType w:val="hybridMultilevel"/>
    <w:tmpl w:val="E74280C0"/>
    <w:lvl w:ilvl="0" w:tplc="08090017">
      <w:start w:val="1"/>
      <w:numFmt w:val="lowerLetter"/>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5A9A0DCC"/>
    <w:multiLevelType w:val="hybridMultilevel"/>
    <w:tmpl w:val="EBA814FC"/>
    <w:lvl w:ilvl="0" w:tplc="5960483E">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746349B4"/>
    <w:multiLevelType w:val="hybridMultilevel"/>
    <w:tmpl w:val="426ECC3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131554431">
    <w:abstractNumId w:val="1"/>
  </w:num>
  <w:num w:numId="2" w16cid:durableId="2144426181">
    <w:abstractNumId w:val="2"/>
  </w:num>
  <w:num w:numId="3" w16cid:durableId="12883943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075"/>
    <w:rsid w:val="00006075"/>
    <w:rsid w:val="004A0D1D"/>
    <w:rsid w:val="00781E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FB6A80"/>
  <w15:chartTrackingRefBased/>
  <w15:docId w15:val="{19A01471-D620-490B-B465-A210C150D0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0607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006075"/>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gov.uk/guidance/housing-and-economic-land-availability-assess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1443</Words>
  <Characters>8231</Characters>
  <Application>Microsoft Office Word</Application>
  <DocSecurity>0</DocSecurity>
  <Lines>68</Lines>
  <Paragraphs>19</Paragraphs>
  <ScaleCrop>false</ScaleCrop>
  <Company/>
  <LinksUpToDate>false</LinksUpToDate>
  <CharactersWithSpaces>9655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Alexander Duval</dc:creator>
  <cp:keywords/>
  <dc:description/>
  <cp:lastModifiedBy>Si, Yufan</cp:lastModifiedBy>
  <cp:revision>2</cp:revision>
  <dcterms:created xsi:type="dcterms:W3CDTF">2023-03-05T23:32:00Z</dcterms:created>
  <dcterms:modified xsi:type="dcterms:W3CDTF">2023-03-05T23:32:00Z</dcterms:modified>
</cp:coreProperties>
</file>